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1 - przedmiot w wersjach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zależenie od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zajęciach 20 godz., praca własna studenta 30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godz.= 1 ECTS: obecność na zajęciach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Rozumienia technicznych i pozatechnicznych aspektów działalności człowieka. &lt;br&gt;
Inspirowanie do samokształcenia.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właściwe dla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właściwe dla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właściwy dla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HESWY2W1: </w:t>
      </w:r>
    </w:p>
    <w:p>
      <w:pPr/>
      <w:r>
        <w:rPr/>
        <w:t xml:space="preserve">							właściwy dla przedmiotu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właściwy dla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HESWY2K1: </w:t>
      </w:r>
    </w:p>
    <w:p>
      <w:pPr/>
      <w:r>
        <w:rPr/>
        <w:t xml:space="preserve">Rozumienie technicznych i pozatechnicznych aspektów działalności człowieka. Inspirowanie do samokształcenia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właściwy dla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2024-05-08T05:16:48+02:00</dcterms:created>
  <dcterms:modified xsi:type="dcterms:W3CDTF">2024-05-08T05:16:48+02:00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