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kompozytów asfaltowych</w:t>
      </w:r>
    </w:p>
    <w:p>
      <w:pPr>
        <w:keepNext w:val="1"/>
        <w:spacing w:after="10"/>
      </w:pPr>
      <w:r>
        <w:rPr>
          <w:b/>
          <w:bCs/>
        </w:rPr>
        <w:t xml:space="preserve">Koordynator przedmiotu: </w:t>
      </w:r>
    </w:p>
    <w:p>
      <w:pPr>
        <w:spacing w:before="20" w:after="190"/>
      </w:pPr>
      <w:r>
        <w:rPr/>
        <w:t xml:space="preserve">Piotr Radziszewski, Prof. dr hab. inż., Prof. nzw.PW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TEKOAS</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godz.=2 ECTS: wykład 7, ćwiczenia laboratoryjne 13, przygotowanie do zajęć laboratoryjnych 15 godz., przygotowanie do zaliczenia przedmiotu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godz.=1 ECTS: wykład 7, ćwiczenia laboratoryjne 13.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28 godz.=1 ECTS: obecność w laboratorium 13, przygotowanie do laboratorium 10, napisanie sprawozdania i weryfikacja 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7h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Konstrukcja nawierzchni drogowej: nawierzchnia podatna, nawierzchnia półsztywna, nawierzchnia sztywna. Asfalty, materiały kamienne: badania i ocena podstawowych właściwości kruszyw. Badania i ocena podstawowych właściwości asfaltów. Kompleksowa ocena właściwości lepiszczy asfaltowych na podstawie karty jakości asfaltu BTDC. Mieszanki mineralno-asfaltowe (MMA): rodzaje, skład, metody otrzymywania, zakres stosowania, cechy techniczne, zastosowanie, metody produkcji i kontroli jakości. Projektowanie składu mieszanki mineralnej o ciągłym uziarnieniu. Zasady ustalania składu MMA typu beton asfaltowy: szkielet mineralny, dobór ilości asfaltu dwoma metodami. Indywidualne zaprojektowanie składu MMA typu beton asfaltowy, wykonanie próbek do badań, badanie właściwości wybranej mieszanki mineralno-asfaltowej. Metody badania i oceny właściwości MMA typu beton asfaltowy. Ocena odporności betonu asfaltowego na działanie wody oraz ocena właściwości fizycznych. Podstawy technologii nawierzchni z betonu cementowego: rodzaje nawierzchni, podstawy technologii wykonania.</w:t>
      </w:r>
    </w:p>
    <w:p>
      <w:pPr>
        <w:keepNext w:val="1"/>
        <w:spacing w:after="10"/>
      </w:pPr>
      <w:r>
        <w:rPr>
          <w:b/>
          <w:bCs/>
        </w:rPr>
        <w:t xml:space="preserve">Metody oceny: </w:t>
      </w:r>
    </w:p>
    <w:p>
      <w:pPr>
        <w:spacing w:before="20" w:after="190"/>
      </w:pPr>
      <w:r>
        <w:rPr/>
        <w:t xml:space="preserve">Egzamin pisemny.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Roberts F. L., Kandhal P. S., Brown E. R., Lee D. and Kennedy T. W., “Hot Mix Asphalt Materials, Mixture Design, and Construction,” 2nd ed.., NAPA Education Foundation, Lanham, Maryland, 1996. 2. “The Asphalt Handbook”, Asphalt Institute, USA, manual series no. 4 (MS-4), 7th edition, 2007. 3. Read J. and Whiteoak D., “The Shell Bitumen Handbook”, 5th edition, 2003. 4. Gaweł, M. Kalabińska, J. Piłat – Asfalty drogowe. WKiŁ, Warszawa 2001. 5. M. Kalabińska, J. Piłat P. Radziszewski – Technologia materiałów i nawierzchni drogowych. Wyd. OW PW, Warszawa 2003. 6. Piłat J., Radziszewski P. Nawierzchnie asfaltowe. WKiŁ, Warszawa 2004.</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TEKOASW1: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TEKOASU1: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TEKOASU2: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TEKOASU3: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TEKOASK1: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2024-05-04T12:47:15+02:00</dcterms:created>
  <dcterms:modified xsi:type="dcterms:W3CDTF">2024-05-04T12:47:15+02:00</dcterms:modified>
</cp:coreProperties>
</file>

<file path=docProps/custom.xml><?xml version="1.0" encoding="utf-8"?>
<Properties xmlns="http://schemas.openxmlformats.org/officeDocument/2006/custom-properties" xmlns:vt="http://schemas.openxmlformats.org/officeDocument/2006/docPropsVTypes"/>
</file>