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BZ, KBI,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20;konsultacje 3; 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inŜynierów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1980,
[2] Buchner Monika i Andrzej, Laube Jan, Zarys projektowania i historii architektury, WSiPW 1991,
[3] Gympel Jan, Historia architektury od antyku do czasów współczesnych, Könemann 2000,
[4] Jenks Charles, Architektura postmodernistyczna, Arkady 1987,
[5] Jodadio Philip, Nowe formy, Architektura lat dziewięćdziesiątych XX wieku, Muza S.A. 1998,
[6] Koch Wilfried, Style w architekturze, Świat KsiąŜki 1996,
[7] Neufert Ernst i Peter, Podręcznik projektowania architektoniczno-budowlanego, Arkady 1995,
[8] Pevsner Nikolaus, Fleming John, Honour Hugh, Encyklopedia architektury, WAiF 1992,
[9] Pevsner Nikolaus, Historia architektury europejskiej, Arkady 1979,
[10] Tietz Jürgen, Historia architektury XX wieku, Könemann 1998,
[11] Rozporządzenie ministra infrastruktury z dnia 12 kwietnia 2002 r. w sprawie warunków technicznych jakim powinny odpowiadać budynki i ich usytuowanie, (Dz U Nr 75 z dnia 15 czerwca 2002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ARCHI1W2: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ARCHI1U3: </w:t>
      </w:r>
    </w:p>
    <w:p>
      <w:pPr/>
      <w:r>
        <w:rPr/>
        <w:t xml:space="preserve">	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ARCHI1K1: </w:t>
      </w:r>
    </w:p>
    <w:p>
      <w:pPr/>
      <w:r>
        <w:rPr/>
        <w:t xml:space="preserve">Ma zdolność kompetentnej współpracy z architektem w tracie procesu twórczego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2026-07-28T12:19:05+02:00</dcterms:created>
  <dcterms:modified xsi:type="dcterms:W3CDTF">2026-07-28T12:19:05+02:00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