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
wykład 30 godz., 
ćwiczenia projektowe 15 godz., 
zapoznanie się z literaturą 7 godz.,
 przygotowanie do ćwiczeń 15 godz., 
konwersatoria 15 godz.
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2.5  ECTS:
wykład 30 godz., 
ćwiczenia projektowe 15 godz., 
konwersatoria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
zapoznanie się z literaturą 7 godz.,
 przygotowanie do ćwiczeń 15 godz., 
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 Wytrzymałość Materiałów I i II, Mechanika Konstrukcji I i II – studia I stopnia, 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wybranych działów mechaniki konstrukcji prętowych (także w zakresie mechaniki prętów cienkościennych), powierzchniowych i cięgnowych, nie omawianych na kursach Wytrzymałości Materiałów I, II oraz  Mechaniki Konstrukcji I i II na studiach I stopnia.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Ruszty o węzłach sztywnych, pręty zakrzywione w planie.
Wybrane zagadnienia statyki i stateczności  prętów cienkościennych.
Podstawy teorii powłok cienkich. Metody obliczeń statycznych wielosegmentowych zbiorników walcowych.
Podstawy mechaniki konstrukcji cięgnowych.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prace projektowe – wykonanie i obrona.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A.Gawęcki, Mechanika materiałów i konstrukcji pretowych. cz. I, cz. II, Wydaw. Politechniki Poznańskiej 1998 r.
[2] Chmielewski T., Zembaty Z., Podstawy dynamiki budowli. Arkady 1998;&lt;br&gt; 
[3] Zienkiewicz O.C., Taylor R.L., The Finite Element Method. Vol. I, II. Butterworth-Heinemann 2000.
[4] Z.Mazurkiewicz, Cienkie powłoki sprężyste. Teoria Liniowa. OW PW 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MEKOKBW1: </w:t>
      </w:r>
    </w:p>
    <w:p>
      <w:pPr/>
      <w:r>
        <w:rPr/>
        <w:t xml:space="preserve">Zna sposoby wyprowadzenia teorii technicznych prętów, płyt 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MEKOKBW2: </w:t>
      </w:r>
    </w:p>
    <w:p>
      <w:pPr/>
      <w:r>
        <w:rPr/>
        <w:t xml:space="preserve">Zna   teorię powłok walcowych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MEKOKBW3: </w:t>
      </w:r>
    </w:p>
    <w:p>
      <w:pPr/>
      <w:r>
        <w:rPr/>
        <w:t xml:space="preserve">Potrafi rozwiązywać zadania statyczne powłok walcowych pracujących w stanie obrotowo-symetrycznym.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MEKOKBW4: </w:t>
      </w:r>
    </w:p>
    <w:p>
      <w:pPr/>
      <w:r>
        <w:rPr/>
        <w:t xml:space="preserve">Potrafi rozwiązywać zadania statyki prętów cienkościennych o przekroju otwartym.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MEKOKBW5: </w:t>
      </w:r>
    </w:p>
    <w:p>
      <w:pPr/>
      <w:r>
        <w:rPr/>
        <w:t xml:space="preserve">Potrafi szacować obciążenia wywołujące zwichrzenie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MEKOKBU1: </w:t>
      </w:r>
    </w:p>
    <w:p>
      <w:pPr/>
      <w:r>
        <w:rPr/>
        <w:t xml:space="preserve">Potrafi szacować siły wywołujące wyboczenie giętno-skrętne prętów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MEKOKBU2: </w:t>
      </w:r>
    </w:p>
    <w:p>
      <w:pPr/>
      <w:r>
        <w:rPr/>
        <w:t xml:space="preserve">Potrafi krytycznie analizować i sprawdzać analitycznie wyniki MES dotyczące pracy sprężystej prętów cienkościennych oraz powłok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MEKOKBU3: </w:t>
      </w:r>
    </w:p>
    <w:p>
      <w:pPr/>
      <w:r>
        <w:rPr/>
        <w:t xml:space="preserve">Umie wyznaczyć siły wewnętrzne i przemieszczenia w ruszcie o węzłach sztywnych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MEKOKBU4: </w:t>
      </w:r>
    </w:p>
    <w:p>
      <w:pPr/>
      <w:r>
        <w:rPr/>
        <w:t xml:space="preserve">Umie analizować pracę wybranych konstrukcji cięgnowych.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MEKOKBU5: </w:t>
      </w:r>
    </w:p>
    <w:p>
      <w:pPr/>
      <w:r>
        <w:rPr/>
        <w:t xml:space="preserve">Umie zbudować model obliczeniowy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MEKOKBK1: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2024-04-27T21:08:13+02:00</dcterms:created>
  <dcterms:modified xsi:type="dcterms:W3CDTF">2024-04-27T21:08:13+02:00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