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32 godzin,
ćwiczenia projektowe 16 godzin,
samodzielna praca nad projektem 25,
studiowanie literatury przedmiotu 20,
nauka do egzaminu i egzamin 20,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32 godzin,
ćwiczenia projektowe 16 godzin,
konsultacje i ocena projektów 10 godzin,
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51 godz. = 2 ECTS: ćwiczenia projektowe 16 godzin,
samodzielna praca nad projektem 25,
konsultacje i ocena projektów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DNSZW1: </w:t>
      </w:r>
    </w:p>
    <w:p>
      <w:pPr/>
      <w:r>
        <w:rPr/>
        <w:t xml:space="preserve">Zna metody oceny stanu technicznego nawierzchni kolejowej i prognozowania zmian tego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DNSZU1: </w:t>
      </w:r>
    </w:p>
    <w:p>
      <w:pPr/>
      <w:r>
        <w:rPr/>
        <w:t xml:space="preserve">	Umie interpretować wpływ warunków eksploatacyjnych na stan techniczny nawierzchni kolejowej.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DNSZK1: </w:t>
      </w:r>
    </w:p>
    <w:p>
      <w:pPr/>
      <w:r>
        <w:rPr/>
        <w:t xml:space="preserve">Potrafi interpretowac skutki zmian stanu technicznego nawierzchni kolejowej na bezpieczeństwo transportu kolejowego i jego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2026-02-09T15:19:49+01:00</dcterms:created>
  <dcterms:modified xsi:type="dcterms:W3CDTF">2026-02-09T15:19:49+01:00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