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niekonwencjonalne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MostNiek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24 godziny kontaktowe - obecność na wykładach, zapoznanie się ze wskazaną literaturą 16 godz., przygotowanie do zaliczenia i obecność na zaliczeniu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obecność na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Mosty Metalowe I,
Podpory mostowe,
Mosty drewniane i kompozytowe.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wiedzy, umiejętności i kompetencji w zakresie teorii, projektowania, budowy i utrzymania mostów podwieszonych oraz kształcenie umiejętności praktycznego zastosowania zdobytych wiadomości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&lt;ol&gt;&lt;li&gt;Obciążenia mostowe według norm europejskich.
&lt;li&gt;Mosty zabytkowe.
&lt;li&gt;Mosty w ciągu linii kolejowych dużych prędkości.
&lt;li&gt;Mosty ruchome.
&lt;li&gt;Fundamenty mostowe.
&lt;li&gt;Trwałość mostów.
&lt;li&gt;Zagadnienia hydrologiczne w mostach.&lt;/ol&gt;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Ryall M.J., Parke G.A.R., Harding J.E.: Manual of Bridge Engineering. Thomas Telford Publishing. London 2000;&lt;br&gt;
[2] Wai-fah Chen, Lian Duan: Bridge Engineering Handbook. CRC Press. London, New York 2000;&lt;br&gt;
[3] Szelągowski F.: Mosty Metalowe. Część II. WKŁ. Warszawa 1972;&lt;br&gt;
[4] PN EN 1990, PN EN 1991, PN EN 1992-2, PN EN 1993-2, PN EN 1994-2, PN 1995-2;&lt;br&gt;
[5] Odpowiednie przepisy dotyczące mostów wydane przez Ministerstwo Transportu (Infrastruktury) oraz PKP PLK.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czasopisma:&lt;br&gt;
Inżynieria i Budownictwo, Drogi i Mosty, Mosty, Obiekty Inżynierskie, Structural Engineering International, Bridge, Der Stahlbau, Journal of Bridge Engineering, Preceedings of ICE - Bridge Engineering, Travoaux.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MostNiekW1: </w:t>
      </w:r>
    </w:p>
    <w:p>
      <w:pPr/>
      <w:r>
        <w:rPr/>
        <w:t xml:space="preserve">Posiada wiedzę o nietypowych rozwiązaniach stosowanych w mostownictwie oraz rzadko występujących rodzajach obiektów mostowych.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MostNiekU1: </w:t>
      </w:r>
    </w:p>
    <w:p>
      <w:pPr/>
      <w:r>
        <w:rPr/>
        <w:t xml:space="preserve">Umie sklasyfikować nietypowe rozwiązania mostowe.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MostNiekK1: </w:t>
      </w:r>
    </w:p>
    <w:p>
      <w:pPr/>
      <w:r>
        <w:rPr/>
        <w:t xml:space="preserve">Umie zaprezentować szerokiemu gronu nietypowe rozwiązania mostowe w przystępny sposób.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2024-05-09T00:29:47+02:00</dcterms:created>
  <dcterms:modified xsi:type="dcterms:W3CDTF">2024-05-09T00:29:47+02:00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