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administracyjnego i cywilnego, w tym ochrony własności intelektualnej.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
</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T. Chauvin, T. Stawecki, P. Winczorek, Wstęp do prawoznawstwa, Warszawa 2016, Wydawnictwo C.H. Beck, ISBN: 978-83-255-7740-7.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2017, Wydawnictwo Wolters Kluwer, ISBN: 978-83-8107-254-0.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zasady i regulacje prawne związane z podejmowaniem i prowadzeniem działalności gospodarczej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K_W16, K_W14</w:t>
      </w:r>
    </w:p>
    <w:p>
      <w:pPr>
        <w:spacing w:before="20" w:after="190"/>
      </w:pPr>
      <w:r>
        <w:rPr>
          <w:b/>
          <w:bCs/>
        </w:rPr>
        <w:t xml:space="preserve">Powiązane efekty obszarowe: </w:t>
      </w:r>
      <w:r>
        <w:rPr/>
        <w:t xml:space="preserve">T1A_W08, P1A_W08, P1A_W11, T1A_W09, P1A_W11</w:t>
      </w:r>
    </w:p>
    <w:p>
      <w:pPr>
        <w:keepNext w:val="1"/>
        <w:spacing w:after="10"/>
      </w:pPr>
      <w:r>
        <w:rPr>
          <w:b/>
          <w:bCs/>
        </w:rPr>
        <w:t xml:space="preserve">Efekt W_02: </w:t>
      </w:r>
    </w:p>
    <w:p>
      <w:pPr/>
      <w:r>
        <w:rPr/>
        <w:t xml:space="preserve">Posiada podstawową wiedzę w zakresie ochrony własności intelektualnej: własności przemysłowej, prawa patentowego i prawa autorskiego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T1A_W11, T1A_W10, P1A_W10</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Posługuje się źródłami prawa polskiego i prawa Unii Europejskiej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Zna konstytucyjne zasady prawne oraz zasady wykładni prawa i rozumie ich wpływ na procesy stanowienia i stosowania prawa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T1A_K02, T1A_K05, P1A_K03, P1A_K04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2024-05-03T05:51:10+02:00</dcterms:created>
  <dcterms:modified xsi:type="dcterms:W3CDTF">2024-05-03T05:51:10+02:00</dcterms:modified>
</cp:coreProperties>
</file>

<file path=docProps/custom.xml><?xml version="1.0" encoding="utf-8"?>
<Properties xmlns="http://schemas.openxmlformats.org/officeDocument/2006/custom-properties" xmlns:vt="http://schemas.openxmlformats.org/officeDocument/2006/docPropsVTypes"/>
</file>