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w:t>
      </w:r>
    </w:p>
    <w:p>
      <w:pPr>
        <w:keepNext w:val="1"/>
        <w:spacing w:after="10"/>
      </w:pPr>
      <w:r>
        <w:rPr>
          <w:b/>
          <w:bCs/>
        </w:rPr>
        <w:t xml:space="preserve">Treści kształcenia: </w:t>
      </w:r>
    </w:p>
    <w:p>
      <w:pPr>
        <w:spacing w:before="20" w:after="190"/>
      </w:pPr>
      <w:r>
        <w:rPr/>
        <w:t xml:space="preserve">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mkrokosm: - zaplanowanie badań, przygotowanie modelowych ekosystemów wodnych, aklimatyzacja i aplikacja scieków - analiza zmian strukturalnych w ekosystemach na podstawie badań biologicznych, - ocena zmian funkcjonalnych w ekosystemach na podstawie wyników analiz chemicznych i mikrobiologicznych Ocena zagrożenia i ryzyka w środowisku na podstawie wybranych metod obliczeniowych</w:t>
      </w:r>
    </w:p>
    <w:p>
      <w:pPr>
        <w:keepNext w:val="1"/>
        <w:spacing w:after="10"/>
      </w:pPr>
      <w:r>
        <w:rPr>
          <w:b/>
          <w:bCs/>
        </w:rPr>
        <w:t xml:space="preserve">Metody oceny: </w:t>
      </w:r>
    </w:p>
    <w:p>
      <w:pPr>
        <w:spacing w:before="20" w:after="190"/>
      </w:pPr>
      <w:r>
        <w:rPr/>
        <w:t xml:space="preserve">Obecność na zajęciach, sprawozdania. Sprawdzian - prezentacja wyników badań - seminarium Egzamin pisemny</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składniki ścieków przemysłowych niebezpieczne dla ekosystemów wodnych, interakcję związków chemicznych w mieszaninach,systemy klasyfikacji toksyczności ścieków według US EPA i U E, limity toksyczności ścieków, porównywanie potencjału toksyczności ścieków indeksem PEEP, procedury związane z minimalizacją ilości i jakości zanieczyszczeń w ściekach – TIE/TRE. Zna metody badań ekotoksyczności ścieków ,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pozatechnicznych aspektów działalności inżynierskiej, w tym szczególnie dotyczacych zagrożenia srodowiska naturalnego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2024-04-29T06:57:09+02:00</dcterms:created>
  <dcterms:modified xsi:type="dcterms:W3CDTF">2024-04-29T06:57:09+02:00</dcterms:modified>
</cp:coreProperties>
</file>

<file path=docProps/custom.xml><?xml version="1.0" encoding="utf-8"?>
<Properties xmlns="http://schemas.openxmlformats.org/officeDocument/2006/custom-properties" xmlns:vt="http://schemas.openxmlformats.org/officeDocument/2006/docPropsVTypes"/>
</file>