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Jerzy Robert Sobiecki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przygotowanie się do kolokwium 10 godzin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seminarium.
Materiały ceramiczne.
Tworzywa metaliczne - stale szybkotnące. 
Metalurgia proszków.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proszków. Elelmenty procesu skrawania materiałów. Stale szybkotnące konwencjonalne i spiekane. Spiekane materiały narzędziowe, (węgliki metali). Ceramika narzędziowa. Materiały supertwarde. Technologie wytwarzania nowoczesnych materiałów narzędziowych. Technologie wytwarzania warstw wierzchnich i powłok na narzędziach do obróbki skrawaniem. Ogólne zasady doboru materiałów narzędziowych.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Wysiecki, Nowoczesne materiały narzędziowe ,Wydawnictwa Naukowo-Techniczne, Warszawa 1997. 
2. T. Burakowski, T. Wierzchoń, Inżynieria powierzchni metali, WNT, Warszawa 1995.
3. P. Kula, Inżynieria warstwy wierzchniej, Monografie, Łódź 2000.
4. A. Michalski, Fizykochemiczne podstawy otrzymywania powłok z fazy gazowej, Oficyna Wydawnicza Politechniki Warszawskiej,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NMN_U2: </w:t>
      </w:r>
    </w:p>
    <w:p>
      <w:pPr/>
      <w:r>
        <w:rPr/>
        <w:t xml:space="preserve">potrafi dokonać wyboru właściwego narzędzia do obróbki skrawaniem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2024-05-08T09:08:49+02:00</dcterms:created>
  <dcterms:modified xsi:type="dcterms:W3CDTF">2024-05-08T09:08:49+02:00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