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PNOM1, PNOM2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OCCH_U2: </w:t>
      </w:r>
    </w:p>
    <w:p>
      <w:pPr/>
      <w:r>
        <w:rPr/>
        <w:t xml:space="preserve">Ma orientacje w podstawach projektowania dyfuzyjnych warstw powierzchniowych i sposobów ich wytwarzania pod kątem uzyskania określonych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2026-07-08T04:13:29+02:00</dcterms:created>
  <dcterms:modified xsi:type="dcterms:W3CDTF">2026-07-08T04:13:29+02:00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