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Mizera, prof. dr hab. Krzysztof Sikorski, prof. nzw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obecność na zajęciach - 30 godz.,  przygotowanie do zajęć (prezentacje w języku polskim i angielskim)- 70h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(w języku polskim i angielskim)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SDII_W1: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SDII_U2: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IM2_U02, IM2_U04, IM2_U06, IM2_U07, IM2_U10, 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T2A_U04, T2A_U06, T2A_U07, T2A_U10, T2A_U11</w:t>
      </w:r>
    </w:p>
    <w:p>
      <w:pPr>
        <w:keepNext w:val="1"/>
        <w:spacing w:after="10"/>
      </w:pPr>
      <w:r>
        <w:rPr>
          <w:b/>
          <w:bCs/>
        </w:rPr>
        <w:t xml:space="preserve">Efekt SDII_U1: </w:t>
      </w:r>
    </w:p>
    <w:p>
      <w:pPr/>
      <w:r>
        <w:rPr/>
        <w:t xml:space="preserve">Posiada umiejętność dokonywania analizy sposobu funkcjonowania rozwiązania technicznego, urządzenia, systemu, procesów zawartch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SDII_K1: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2026-06-17T15:52:15+02:00</dcterms:created>
  <dcterms:modified xsi:type="dcterms:W3CDTF">2026-06-17T15:52:15+02:00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