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Advanced Methods of Materials Testing </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3 godziny tygodniowo na jej przyswojenie i utrwalenie.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ECTS=Wykład 30 godzin, konsultacje z zakresu zrozumienia zaawansowanych metod badawczych, przeprowadzenie egzaminu i sprawdzenie prac egzaminacyjnych.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Wykłady ilustrowane autorskimi wynikami badań z wykorzystaniem analizy krystalograficznej.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ZMBM_W1: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IM2_W05, IM2_W06, IM2_W08</w:t>
      </w:r>
    </w:p>
    <w:p>
      <w:pPr>
        <w:spacing w:before="20" w:after="190"/>
      </w:pPr>
      <w:r>
        <w:rPr>
          <w:b/>
          <w:bCs/>
        </w:rPr>
        <w:t xml:space="preserve">Powiązane efekty obszarowe: </w:t>
      </w:r>
      <w:r>
        <w:rPr/>
        <w:t xml:space="preserve">T2A_W03, T2A_W04, T2A_W04</w:t>
      </w:r>
    </w:p>
    <w:p>
      <w:pPr>
        <w:pStyle w:val="Heading3"/>
      </w:pPr>
      <w:bookmarkStart w:id="3" w:name="_Toc3"/>
      <w:r>
        <w:t>Profil ogólnoakademicki - umiejętności</w:t>
      </w:r>
      <w:bookmarkEnd w:id="3"/>
    </w:p>
    <w:p>
      <w:pPr>
        <w:keepNext w:val="1"/>
        <w:spacing w:after="10"/>
      </w:pPr>
      <w:r>
        <w:rPr>
          <w:b/>
          <w:bCs/>
        </w:rPr>
        <w:t xml:space="preserve">Efekt ZMBM_U1: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IM2_U01, IM2_U05, IM2_U08, IM2_U11, IM2_U13, IM2_U18, IM2_U19, IM2_U20</w:t>
      </w:r>
    </w:p>
    <w:p>
      <w:pPr>
        <w:spacing w:before="20" w:after="190"/>
      </w:pPr>
      <w:r>
        <w:rPr>
          <w:b/>
          <w:bCs/>
        </w:rPr>
        <w:t xml:space="preserve">Powiązane efekty obszarowe: </w:t>
      </w:r>
      <w:r>
        <w:rPr/>
        <w:t xml:space="preserve">T2A_U01, T2A_U05, T2A_U08, T2A_U10, T2A_U12, T2A_U17, T2A_U18, T2A_U18</w:t>
      </w:r>
    </w:p>
    <w:p>
      <w:pPr>
        <w:pStyle w:val="Heading3"/>
      </w:pPr>
      <w:bookmarkStart w:id="4" w:name="_Toc4"/>
      <w:r>
        <w:t>Profil ogólnoakademicki - kompetencje społeczne</w:t>
      </w:r>
      <w:bookmarkEnd w:id="4"/>
    </w:p>
    <w:p>
      <w:pPr>
        <w:keepNext w:val="1"/>
        <w:spacing w:after="10"/>
      </w:pPr>
      <w:r>
        <w:rPr>
          <w:b/>
          <w:bCs/>
        </w:rPr>
        <w:t xml:space="preserve">Efekt ZMBM_K1: </w:t>
      </w:r>
    </w:p>
    <w:p>
      <w:pPr/>
      <w:r>
        <w:rPr/>
        <w:t xml:space="preserve">Potrafi zainspirować innych do większego zaangażowania w zdobywaniu wiedzy.Rozumie potrzebę uczenia się przez całe życie, problem szybkiej dezaktualizacji wiedzy. Rozumie problemy związane z wykonywaniem swojego zawodu, potrafi wyznaczyć sobie priorytety w realizacji postawionego celu. Ma świadomość roli nowoczesnych metod badań materiałów w aspekcie wyjaśniania zachodzących zjawisk,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IM2_K01, IM2_K03, IM2_K04, IM2_K05, IM2_K07</w:t>
      </w:r>
    </w:p>
    <w:p>
      <w:pPr>
        <w:spacing w:before="20" w:after="190"/>
      </w:pPr>
      <w:r>
        <w:rPr>
          <w:b/>
          <w:bCs/>
        </w:rPr>
        <w:t xml:space="preserve">Powiązane efekty obszarowe: </w:t>
      </w:r>
      <w:r>
        <w:rPr/>
        <w:t xml:space="preserve">T2A_K01, T2A_K03, T2A_K04,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2024-05-05T17:28:55+02:00</dcterms:created>
  <dcterms:modified xsi:type="dcterms:W3CDTF">2024-05-05T17:28:55+02:00</dcterms:modified>
</cp:coreProperties>
</file>

<file path=docProps/custom.xml><?xml version="1.0" encoding="utf-8"?>
<Properties xmlns="http://schemas.openxmlformats.org/officeDocument/2006/custom-properties" xmlns:vt="http://schemas.openxmlformats.org/officeDocument/2006/docPropsVTypes"/>
</file>