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Bioinżynieria/ Bioengineering</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BIOINŻ</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- 28 godzin. Kolokwium - 2 godzin. Przygotowanie do kolokwium i wykładów (praca własna studenta) - 30 godzin.
Konsultacje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28 godzin. Kolokwium 2 godziny.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i metalurgia, Materiały ceramiczne i technologie ich wytwarzania, Materiały polimerowe, Korozja, Zaawansowane metody badania materiałów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wykładu jest zapoznanie studenta z zagadnieniami dotyczącymi bioinżynierii, a w szczególności podstaw inżynierii biomedycznej. Student dowiaduję się jak wiedza inżynierska (również ta zdobyta w zakresie inżynierii materiałowej) znajduje zastosowanie w medycynie. Przykładami zastosowań tej wiedzy jest projektowanie oraz wytwarzanie implantów, lekarstw oraz innych urządzeń medycznych służących zarówno zapobieganiu ludzkim schorzeniom jak też ich leczeniu. </w:t>
      </w:r>
    </w:p>
    <w:p>
      <w:pPr>
        <w:keepNext w:val="1"/>
        <w:spacing w:after="10"/>
      </w:pPr>
      <w:r>
        <w:rPr>
          <w:b/>
          <w:bCs/>
        </w:rPr>
        <w:t xml:space="preserve">Treści kształcenia: </w:t>
      </w:r>
    </w:p>
    <w:p>
      <w:pPr>
        <w:spacing w:before="20" w:after="190"/>
      </w:pPr>
      <w:r>
        <w:rPr/>
        <w:t xml:space="preserve">Podstawy anatomii człowieka, materiały implantacyjne, biomechanika, implanty i sztuczne narządy, inżynieria tkankowa i medycyna regeneracyjna, systemy dostarczenia leków,  modelowanie systemów inżynierskich i biologicznych, informatyka medyczna, prawne i etyczne aspekty inżynierii biomedycznej.</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Biocybernetyka i inżynieria biomedyczna 2000, pod redakcją M. Nałęcza, Akademicka Oficyny Wydawnicza, EXIT, 2003.
2. J. Marciniak, Biomateriały, Wyd. Politechniki Śląskiej, Gliwice 2002.
3. M. Gierzyńska-Dolna, Biotribologia, Wyd. Politechniki Częstochowskiej, 2002.
4. T. Wierzchoń, E. Czarnowska, D. Krupa, Inżynieria Powierzchni w wytwarzaniu biomateriałów tytanowych, Oficyna Wydawnicza Politechniki Warszawskiej, Warszawa 2004.
</w:t>
      </w:r>
    </w:p>
    <w:p>
      <w:pPr>
        <w:keepNext w:val="1"/>
        <w:spacing w:after="10"/>
      </w:pPr>
      <w:r>
        <w:rPr>
          <w:b/>
          <w:bCs/>
        </w:rPr>
        <w:t xml:space="preserve">Witryna www przedmiotu: </w:t>
      </w:r>
    </w:p>
    <w:p>
      <w:pPr>
        <w:spacing w:before="20" w:after="190"/>
      </w:pPr>
      <w:r>
        <w:rPr/>
        <w:t xml:space="preserve">www.inmat.pw.edu.pl</w:t>
      </w:r>
    </w:p>
    <w:p>
      <w:pPr>
        <w:keepNext w:val="1"/>
        <w:spacing w:after="10"/>
      </w:pPr>
      <w:r>
        <w:rPr>
          <w:b/>
          <w:bCs/>
        </w:rPr>
        <w:t xml:space="preserve">Uwagi: </w:t>
      </w:r>
    </w:p>
    <w:p>
      <w:pPr>
        <w:spacing w:before="20" w:after="190"/>
      </w:pPr>
      <w:r>
        <w:rPr/>
        <w:t xml:space="preserve">Przedmiot w sposób syntetyczny przedstawia zagadnienia dotyczące inżynierii biomedycznej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BioInz_W1: </w:t>
      </w:r>
    </w:p>
    <w:p>
      <w:pPr/>
      <w:r>
        <w:rPr/>
        <w:t xml:space="preserve">Ma wiedzę podstawową w zakresie inżynierii biomedycznej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BioInz_W2: </w:t>
      </w:r>
    </w:p>
    <w:p>
      <w:pPr/>
      <w:r>
        <w:rPr/>
        <w:t xml:space="preserve">Ma wiedzę w zakresie biomateriałów stosowanych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BioInz_U1: </w:t>
      </w:r>
    </w:p>
    <w:p>
      <w:pPr/>
      <w:r>
        <w:rPr/>
        <w:t xml:space="preserve">Na podstawie wiedzy nabytej w trakcie wykładu oraz przeprowadzonej analizy fachowej literatury student potrafi dobierać materiały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 IM2_U10</w:t>
      </w:r>
    </w:p>
    <w:p>
      <w:pPr>
        <w:spacing w:before="20" w:after="190"/>
      </w:pPr>
      <w:r>
        <w:rPr>
          <w:b/>
          <w:bCs/>
        </w:rPr>
        <w:t xml:space="preserve">Powiązane efekty obszarowe: </w:t>
      </w:r>
      <w:r>
        <w:rPr/>
        <w:t xml:space="preserve">T2A_U01, T2A_U05, T2A_U10</w:t>
      </w:r>
    </w:p>
    <w:p>
      <w:pPr>
        <w:keepNext w:val="1"/>
        <w:spacing w:after="10"/>
      </w:pPr>
      <w:r>
        <w:rPr>
          <w:b/>
          <w:bCs/>
        </w:rPr>
        <w:t xml:space="preserve">Efekt BioInz_U2: </w:t>
      </w:r>
    </w:p>
    <w:p>
      <w:pPr/>
      <w:r>
        <w:rPr/>
        <w:t xml:space="preserve">Na podstawie wiedzy nabytej w trakcie wykładu oraz przeprowadzonej analizy fachowej literatury student potrafi dobierać biomateriały na systemy dostarczania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 IM2_U10</w:t>
      </w:r>
    </w:p>
    <w:p>
      <w:pPr>
        <w:spacing w:before="20" w:after="190"/>
      </w:pPr>
      <w:r>
        <w:rPr>
          <w:b/>
          <w:bCs/>
        </w:rPr>
        <w:t xml:space="preserve">Powiązane efekty obszarowe: </w:t>
      </w:r>
      <w:r>
        <w:rPr/>
        <w:t xml:space="preserve">T2A_U01, T2A_U05, T2A_U10</w:t>
      </w:r>
    </w:p>
    <w:p>
      <w:pPr>
        <w:pStyle w:val="Heading3"/>
      </w:pPr>
      <w:bookmarkStart w:id="4" w:name="_Toc4"/>
      <w:r>
        <w:t>Profil ogólnoakademicki - kompetencje społeczne</w:t>
      </w:r>
      <w:bookmarkEnd w:id="4"/>
    </w:p>
    <w:p>
      <w:pPr>
        <w:keepNext w:val="1"/>
        <w:spacing w:after="10"/>
      </w:pPr>
      <w:r>
        <w:rPr>
          <w:b/>
          <w:bCs/>
        </w:rPr>
        <w:t xml:space="preserve">Efekt BioInz_K1: </w:t>
      </w:r>
    </w:p>
    <w:p>
      <w:pPr/>
      <w:r>
        <w:rPr/>
        <w:t xml:space="preserve">Rozumie potrzebę uczenia się przez całe życie. Rozumie problem dezaktualizacji nabytej wiedzy – będący wynikiem zachodzących w świecie nauki zmian, w tym pojawiania się nowych odkryć. Potrafi odpowiednio określić priorytety służące realizacji określonego przez siebie zadania. Prawidłowo identyfikuje i rozstrzyga dylematy związane z wykonywaniem zawodu. Rozumie wagę odpowiedzialności za podejmowane przez decyzje. Student ma świadomość znaczenia bioinżynierii dla poprawy jakości życia,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 </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IM2_K01, IM2_K02, IM2_K04, IM2_K05, IM2_K07</w:t>
      </w:r>
    </w:p>
    <w:p>
      <w:pPr>
        <w:spacing w:before="20" w:after="190"/>
      </w:pPr>
      <w:r>
        <w:rPr>
          <w:b/>
          <w:bCs/>
        </w:rPr>
        <w:t xml:space="preserve">Powiązane efekty obszarowe: </w:t>
      </w:r>
      <w:r>
        <w:rPr/>
        <w:t xml:space="preserve">T2A_K01, T2A_K02, T2A_K04,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2025-12-27T13:19:19+01:00</dcterms:created>
  <dcterms:modified xsi:type="dcterms:W3CDTF">2025-12-27T13:19:19+01:00</dcterms:modified>
</cp:coreProperties>
</file>

<file path=docProps/custom.xml><?xml version="1.0" encoding="utf-8"?>
<Properties xmlns="http://schemas.openxmlformats.org/officeDocument/2006/custom-properties" xmlns:vt="http://schemas.openxmlformats.org/officeDocument/2006/docPropsVTypes"/>
</file>