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systemy transportowe (ITS)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
1) liczba godzin kontaktowych - 16:
a) 15 godz. - wykład,
b) 1 godz. - konsultacje.
2) praca własna studenta:
a) 7 godz. - analiza dodatkowej literatury i map,
b) 7 godz. – przygotowywanie się studenta do zaliczeń.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ECTS.
Liczba godzin kontaktowych - 16:
a) 35 godz. - wykład,
b) 1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problematyką inteligentnych systemów transportowych, przede wszystkim w kontekście wykorzystania technologii ICT oraz technologii geoinformacyjnych. Celem przedmiotu jest przygotowanie studentów do udziału w zespołach projektowych tworzących rozwiązania z zakresu ITS.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 Wykład
Cele budowy systemów ITS. Standardy w ITS. Architektura i komponenty systemów ITS. Systemy informacji dla podróżnych. Systemy zarządzania ruchem. Inteligentne i autonomiczne pojazdy.
Optymalizacja transportu publicznego. Wspomaganie bezpieczeństwa w ruchu drogowym. Elektroniczne płatności na drogach. Znaczenie informacji przestrzennej i technologii geoinformacyjnych dla ITS
Przegląd rozwiązań ITS w Polsce i na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w formie dwóch sprawdzianów. 
Ocena końcowa jako średnia ze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Adamski A (2003): Inteligentne Systemy Transportowe: Sterowanie, Nadzór, Zarządzanie, Monografie AGH. 
Bartczak K. “Scenariusze rozwoju ITS w polskim transporcie drogowym w latach 2008-2013 cz.1”, Przegląd ITS, nr 1
ITS STRATEGIC PLAN 2015 –2019 http://www.its.dot.gov/strategicplan.pdf
Przegląd ITS, http://przeglad-its.pl/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GI.ISP-6020_W1: </w:t>
      </w:r>
    </w:p>
    <w:p>
      <w:pPr/>
      <w:r>
        <w:rPr/>
        <w:t xml:space="preserve">zna ideę budowy i wykorzystywania inteligentnych systemów transportowych (ITS) oraz orientuje się w aktualnych wdrożeniach z zakresu ITS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T1P_W03</w:t>
      </w:r>
    </w:p>
    <w:p>
      <w:pPr>
        <w:keepNext w:val="1"/>
        <w:spacing w:after="10"/>
      </w:pPr>
      <w:r>
        <w:rPr>
          <w:b/>
          <w:bCs/>
        </w:rPr>
        <w:t xml:space="preserve">Efekt GI.ISP-6020_W2: </w:t>
      </w:r>
    </w:p>
    <w:p>
      <w:pPr/>
      <w:r>
        <w:rPr/>
        <w:t xml:space="preserve">zna podstawowe standardy z zakresu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T1P_W03</w:t>
      </w:r>
    </w:p>
    <w:p>
      <w:pPr>
        <w:keepNext w:val="1"/>
        <w:spacing w:after="10"/>
      </w:pPr>
      <w:r>
        <w:rPr>
          <w:b/>
          <w:bCs/>
        </w:rPr>
        <w:t xml:space="preserve">Efekt GI.ISP-6020_W3: </w:t>
      </w:r>
    </w:p>
    <w:p>
      <w:pPr/>
      <w:r>
        <w:rPr/>
        <w:t xml:space="preserve">ma wiedzę na temat znaczenia geoinformacji w inteligentnych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T1P_W03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GI.ISP-6020_U1: </w:t>
      </w:r>
    </w:p>
    <w:p>
      <w:pPr/>
      <w:r>
        <w:rPr/>
        <w:t xml:space="preserve">potrafi ocenić stopień zaawansowania i zgodność ze standardami wybranego inteligentnego systemu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</w:t>
      </w:r>
    </w:p>
    <w:p>
      <w:pPr>
        <w:keepNext w:val="1"/>
        <w:spacing w:after="10"/>
      </w:pPr>
      <w:r>
        <w:rPr>
          <w:b/>
          <w:bCs/>
        </w:rPr>
        <w:t xml:space="preserve">Efekt GI.ISP-6020_U2: </w:t>
      </w:r>
    </w:p>
    <w:p>
      <w:pPr/>
      <w:r>
        <w:rPr/>
        <w:t xml:space="preserve">potrafi wskazać dane i technologie geoinformacyjne przydatne w procesie tworzenia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T1P_U05, T1P_U13, T1P_U16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GI.ISP-6020_K1: </w:t>
      </w:r>
    </w:p>
    <w:p>
      <w:pPr/>
      <w:r>
        <w:rPr/>
        <w:t xml:space="preserve">posiada zdolność do poszukiwania nowych zastosowań technologii geoinformacyjnych 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T1P_K01, T1P_K02, T1P_K05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2026-09-11T18:07:15+02:00</dcterms:created>
  <dcterms:modified xsi:type="dcterms:W3CDTF">2026-09-11T18:07:15+02:00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