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 i reklama we współczesnym świecie -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GP.SMOB306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obecność na wykładach - 30 godz.,
b) udział w konsultacjach - 5 godz.
2. Praca własna studenta – 15 godzin, w tym:
a) przygotowanie do egzaminu i obecność na egzaminie (zaliczeniu końcowym) - 10 godz.
b) zapoznanie się ze wskazaną literaturą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obecność na wykładach - 30 godz., 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Public relations i reklama w dzisiejszym świecie – wprowadzenie. Czym różni się PR od reklamy? Czy PR to marketing? Czy PR to propaganda? 
2. Podstawowe prawa marketingu w kontekście public relations i reklamy
3. Public relations jako komunikacja społeczna. Podstawowe zasady komunikowania
4. Przywódcy opinii, odźwierni, szum informacyjny. Podstawowe modele komunikacji międzyludzkiej
5. Kto potrzebuje public relations? Specyfika i zakres działań PR. Najważniejsze rodzaje publiczności
6. Metody działań PR. Kampanie długofalowe i działania ad hoc
7. Media relations – specyfika kontaktów z dziennikarzami. Mity i rzeczywistość.
8. Sytuacje kryzysowe i zarządzanie nimi
9. Wizerunek, logo, image. Corporate identity – tożsamość przedsiębiorstwa
10. Etyczny i nieetyczny PR.
11. Definicje i uwarunkowania społeczne reklamy.
12. Narzędzia reklamy i kanały komunikowania, z których korzysta. Kontekst kulturowy reklamy.
13. Perswazja w reklamie i jej odbiorcy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wyd. Oficyna Ekonomiczna 2006
2.	B. Rozwadowska, Public relations, wyd. Studio Emka 2009
3.	P. Lewiński, Retoryka reklamy, Wydawnictwa Uniwersytetu Wrocławskiego 1999
Literatura uzupełniająca:
1.	Olędzki, J. i Tworzydło, D. (red.). 2009. Public relations. Znaczenie społeczne i kierunki rozwoju, Rzeszów: Newsline &amp; Bonus Liber.
2.	Dobek-Ostrowska, B. (red.). 2001. Nauka o komunikowaniu. Podstawowe orientacje teoretyczne, Wrocław: Wydawnictwo UWr.
3.	McCombs, M. 2008. Ustanawianie agendy. Media masowe i opinia publiczna, Kraków: Wydawnictwo UJ.
4.	Anthonissen, P. 2010. Komunikacja kryzysowa, Warszawa: Wolters Kluwer.
5.    Goban-Klas, T. 1999. Media i komunikowanie masowe. Teorie i analizy prasy, radia, telewizji i Internetu, wyd.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GP.SMOB306_W1: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GP.SMOB306_W2: </w:t>
      </w:r>
    </w:p>
    <w:p>
      <w:pPr/>
      <w:r>
        <w:rPr/>
        <w:t xml:space="preserve">Student zna zróżnicowane kategorie publiczności, do których należy kierować komunikaty PR i reklamowe.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GP.SMOB306_W3: </w:t>
      </w:r>
    </w:p>
    <w:p>
      <w:pPr/>
      <w:r>
        <w:rPr/>
        <w:t xml:space="preserve">Student zna różnicę między rzetelnym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GP.SMOB306_U1: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GP.SMOB306_U2: </w:t>
      </w:r>
    </w:p>
    <w:p>
      <w:pPr/>
      <w:r>
        <w:rPr/>
        <w:t xml:space="preserve">Student potrafi wykorzystać wiedzę nt. PR i reklamy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keepNext w:val="1"/>
        <w:spacing w:after="10"/>
      </w:pPr>
      <w:r>
        <w:rPr>
          <w:b/>
          <w:bCs/>
        </w:rPr>
        <w:t xml:space="preserve">Efekt GP.SMOB306_U3: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GP.SMOB306_K1: </w:t>
      </w:r>
    </w:p>
    <w:p>
      <w:pPr/>
      <w:r>
        <w:rPr/>
        <w:t xml:space="preserve">Student jest świadomy roli, jaką reklama i PR odgrywają we współczesnych realiach, dostrzega potrzebę bycia krytycznym odbiorcą treści związanych z tymi dziedzinami,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GP.SMOB306_K2: </w:t>
      </w:r>
    </w:p>
    <w:p>
      <w:pPr/>
      <w:r>
        <w:rPr/>
        <w:t xml:space="preserve">Student jest świadomy etycznego wymiaru komunikacji kryzysowej, ze szczególnym uwzględnieniem zobowiązania do komunikowania prawdy zamiast fałszu w razie wystąpienia sytuacji 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2026-08-21T04:12:36+02:00</dcterms:created>
  <dcterms:modified xsi:type="dcterms:W3CDTF">2026-08-21T04:12:36+02:00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