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godz.
2.	Praca własna studenta – 50 godzin, w tym:
a) przygotowanie do zajęć projektowych - 15 godz., 
b) dokończenie (w domu) sprawozdań z zajęć projektowych - 15 godz.,
c) realizacja zadań projektowych: 10 godz. 
d) przygotowanie do egzaminu i obecność na egzaminie: 10 godz. 
Łączny nakład pracy studenta wynosi 100 godzin.,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kontaktowych: 50, w tym:
a)	wykład – 15 godz.
b)	ćwiczenia projektowe – 30 godz.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 pracy studenta, w tym: 
a) przygotowanie do zajęć projektowych - 15 godz., 
b) ćwiczenia projektowe – 30 godz.
c) konsultacje – 5 godz.
d) dokończenie (w domu) sprawozdań z zajęć projektowych - 15 godz.,
e) realizacja zadań projektowych: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
Projekt: Analiza władania i użytkowania gruntami na podstawie materiałów uzyskanych z PODGiK. Inwentaryzacja użytkowania  oraz stanu zainwestowania i rozwoju obiektów badawczych w terenie. Opracowanie aktualnej mapy użytkowania i dokumentacji fotograficznej na podstawie prac terenowych oraz studiów prezentujących strukturę własności i parametrów przestrzennych działek i gospodarstw. Opracowanie projektu zagospodarowania przestrzennego obszaru wiejskiego, ze szczególnym uwzględnieniem poprawy układu komunikacyjnego i struktury przestrzennej działek dla wybranego obrębu z wykorzystaniem dostępnych danych, a w szczególności: danych uzyskanych w wyniku inwentaryzacji terenowej, studium uwarunkowań i zagospodarowania przestrzennego gminy.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 i inwentaryzacji terenowej,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
Bielska A., Kupidura A., Rogoziński R.: Analiza uwarunkowań środowiskowych w planowaniu i zagospodarowaniu przestrzennym gminy Cegłów, 2013, Oficyna Wydawnicza Politechniki Warszawskiej 
Bielska Anna., Barcikowska P., Witkowska M.: Scalanie i podział nieruchomości jako proces wspomagający planowanie przestrzenne na przykładzie wybranych obszarów, 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
Hopfer, Urban,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
Ustawa z dnia 21 sierpnia 1997 r. o gospodarce nieruchomościami(t.j. Dz. U. z 2014 r. poz. 518, 659, 805, 822, 906, 1200. z późn. zm.)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 nr 45 poz. 453)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GP.SMK117_W1: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GP.SMK117_W3: </w:t>
      </w:r>
    </w:p>
    <w:p>
      <w:pPr/>
      <w:r>
        <w:rPr/>
        <w:t xml:space="preserve">zna zakres i rolę planu urządzania lasu oraz 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GP.SMK117_W4: </w:t>
      </w:r>
    </w:p>
    <w:p>
      <w:pPr/>
      <w:r>
        <w:rPr/>
        <w:t xml:space="preserve">ma wiedzę dotyczącą wykorzystania technologii 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GP.SMK117_W5: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GP.SMK117_U1: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
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GP.SMK117_U2: </w:t>
      </w:r>
    </w:p>
    <w:p>
      <w:pPr/>
      <w:r>
        <w:rPr/>
        <w:t xml:space="preserve">potrafi pracować w przewidzianym czasie wykonać analizy, uwzględnić otrzymane dane i opracować projekt tak aby był zgodny z 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GP.SMK117_U3: </w:t>
      </w:r>
    </w:p>
    <w:p>
      <w:pPr/>
      <w:r>
        <w:rPr/>
        <w:t xml:space="preserve">potrafi merytorycznie uzasadnić autorskie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GP.SMK117_U4: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GP.SMK117_U5: </w:t>
      </w:r>
    </w:p>
    <w:p>
      <w:pPr/>
      <w:r>
        <w:rPr/>
        <w:t xml:space="preserve">potrafi wykonać niezbędne analizy i opracować koncepcję założeń do projektu scalenia gruntów dla wybranego obrębu wykorzystując technologię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GP.SMK117_K1: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GP.SMK117_K2: </w:t>
      </w:r>
    </w:p>
    <w:p>
      <w:pPr/>
      <w:r>
        <w:rPr/>
        <w:t xml:space="preserve">potrafi współpracować i pracować w grupie projektantów o różnej specjalności i podejmować wspólne decyzje projektowe w zakresie 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GP.SMK117_K3: </w:t>
      </w:r>
    </w:p>
    <w:p>
      <w:pPr/>
      <w:r>
        <w:rPr/>
        <w:t xml:space="preserve">potrafi przewidywać wielokierunkowe skutki wynikające z wprowadzonych projektów z zakresu prac urzadzeniowo-rolnych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2024-05-06T17:44:06+02:00</dcterms:created>
  <dcterms:modified xsi:type="dcterms:W3CDTF">2024-05-06T17:44:06+02:00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