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15, w tym:
a) udział w wykładach 15 godz. 
2. Praca własna studenta – 10 godzin, w tym:
b) przygotowanie do zaliczenia i obecność na zaliczeniu - 10 godz. 
Łączny nakład pracy studenta wynosi zatem 25 godz.,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kontaktowych: 15, w tym:
a) udział w wykładach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i samorządzie terytorialnym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 oraz systemach planowania przestrzennego w wybranych krajach członkowskich.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Przestrzeń, gospodarka przestrzenna, polityka przestrzenna
Uwarunkowania gospodarki przestrzennej
Przestrzeń polska w ujęciu historycznym
Samorząd terytorialny w krajach Unii Europejskiej: 	Dania, Szwecja, Finlandia
Planowanie przestrzenne w wybranych krajach Unii Europejskiej: Dania, Szwecja, Finlandia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przestrzenna w krajach Unii Europejskiej, akty prawne, komentarze, mapy, statystyka, red. M. Czornik, część 1 i 2, Uniwersytet Ekonomiczny Katowice,  2011.
2. System planowania przestrzennego i jego rola w strategicznym zarządzaniu rozwojem kraju, red. T. Markowski, P. Żuber,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GP.SMS245_W1: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GP.SMS245_W2: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GP.SMS245_W3: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GP.SMS245_W4: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GP.SMS245_U1: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GP.SMS245_U2: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GP.SMS245_U3: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GP.SMS245_U4: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GP.SMS245_K1: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GP.SMS245_K2: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GP.SMS245_K3: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GP.SMS245_K4: </w:t>
      </w:r>
    </w:p>
    <w:p>
      <w:pPr/>
      <w:r>
        <w:rPr/>
        <w:t xml:space="preserve">Potrafi uwzględniać różne kierunki swojej działalności
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2024-05-03T06:58:21+02:00</dcterms:created>
  <dcterms:modified xsi:type="dcterms:W3CDTF">2024-05-03T06:58:21+02:00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