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30, w tym:
a) obecność na zajęciach projektowych - 15 godz.
b) konsultacje - 15 godz.
2. Praca własna studenta – 20 godzin, w tym:
a) przygotowanie do zajęć projektowych - 15 godz.
b) zapoznanie ze wskazaną literaturą i przygotowanie do zaliczenia - 10 godz.
Łącznie nakład pracy studenta wynosi 50 godzin,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kontaktowych: 30, w tym:
a) obecność na zajęciach projektowych - 15 godz.
b) konsultacje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pkt. ECTS - 30 godzin pracy studenta, w tym:
a) obecność na zajęciach projektowych - 15 godz.
b) przygotowanie do zajęć projektowych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podstawowymi narzędziami stosowanymi w statystyce, ekonometrii, prognozowaniu i eksploracji danych. Student nabywa umiejętności wykorzystywania tych narzędzi w wybranych dziedzinach gospodarki przestrzennej, przede wszystkim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modeli, modelowania, symulacji. Metody tworzenia, realizacji 
i weryfikacji modeli funkcjonowania zjawisk gospodarczych i społecznych.
Modele jako narzędzia operacyjne w gospodarce przestrzennej. Modele ilościowe 
w prognozowania systemu osadniczego. Przykłady modeli i ich weryfikacji. Modele jako narzędzia prognoz demograficznych i gospodarczych oraz tworzenia scenariuszy rozwoju gospodarczego. Rola modeli w opracowaniu i testowaniu strategii rozwoju obszarów.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projektów
Sprawdzian pisemny lub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Kupidura P. (2012). Modelowanie w gospodarce przestrzennej. skrypt do ćwiczeń
Bajerowski T. (2008). Zarządzanie przestrzenne. Teoretyczne i praktyczne aspekty prognozowania finansowych skutków opracowań planistycznych. Wydawnictwo UWM w Olsztynie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GP.NMK216_W1: </w:t>
      </w:r>
    </w:p>
    <w:p>
      <w:pPr/>
      <w:r>
        <w:rPr/>
        <w:t xml:space="preserve">znajomość różnorodnych typów modeli rzeczywistości a także metod prognozowania oraz umiejętność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GP.NMK216_U1: </w:t>
      </w:r>
    </w:p>
    <w:p>
      <w:pPr/>
      <w:r>
        <w:rPr/>
        <w:t xml:space="preserve">Umiejętność wykorzystania odpowiednich narzędzi statystycznych do prognozowania przyszłości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</w:t>
      </w:r>
    </w:p>
    <w:p>
      <w:pPr>
        <w:keepNext w:val="1"/>
        <w:spacing w:after="10"/>
      </w:pPr>
      <w:r>
        <w:rPr>
          <w:b/>
          <w:bCs/>
        </w:rPr>
        <w:t xml:space="preserve">Efekt GP.NMK216_U2: </w:t>
      </w:r>
    </w:p>
    <w:p>
      <w:pPr/>
      <w:r>
        <w:rPr/>
        <w:t xml:space="preserve">umiejętność wykorzystania danych statystycznych oraz systemów informacji przestrzennej do modelowania i prognozowania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GP.NMK216_K1: </w:t>
      </w:r>
    </w:p>
    <w:p>
      <w:pPr/>
      <w:r>
        <w:rPr/>
        <w:t xml:space="preserve">potrafi ocenić wpływ podejmowanych decyzji na wynik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2024-05-06T12:56:13+02:00</dcterms:created>
  <dcterms:modified xsi:type="dcterms:W3CDTF">2024-05-06T12:56:13+02:00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