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Wybrane zagadnienia integracji procesów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dr hab. inż. / Mariusz Markowski / profesor nadzwyczajny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Fakultatywny ograniczonego wyboru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Mechanika i Budowa Maszyn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MS2A_20/02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2 / rok ak. 2017/2018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2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Wykłady: liczba godzin według planu studiów - 30, zapoznanie ze wskazaną literaturą - 5, przygotowanie do zajęć - 10, przygotowanie do kolokwium zaliczeniowego - 15, Razem - 60 
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Wykłady - 30 h = 1,2 ECTS
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0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Wykład: min. 15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Uzyskanie przez studentów wiedzy związanej z metodami integracji cieplnej układów do wymiany ciepła i masy. Celem nauczania przedmiotu jest też nabycie umiejętności w projektowaniu energooszczędnych układów: sieci wymienników ciepła, zakładów przemysłowych sprzężonych z elektrociepłownią, zbioru kolumn rektyfikacyjnych.
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W1 - Wprowadzenie do integracji procesów i przegląd problematyki. W2 - Znaczenie integracji procesów dla projektowania i eksploatacji zakładów przemysłowych. W3 - Użytkowanie ciepła w układach gospodarki cieplnej zakładów przemysłowych. W4 - Optymalizacja sieci wymienników ciepła. W5 - Optymalizacja zbioru kolumn rektyfikacyjnych. W6 - Pojęcie punktu „thermal pinch” (przewężenia temperaturowego). Analiza „thermal pinch”. W7 - Metody obliczeniowe i oprogramowanie oraz przykłady zastosowań analizy „thermal pinch”. 
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Obecność studentów jest wskazana na wykładach.
Sposób bieżącej kontroli wyników nauczania:
Aktywne uczestnictwo studentów w rozwiązywaniu wybranych zagadnień w trakcie wykładu, pod kierunkiem prowadzącego przedmiot. 
Warunki zaliczenia przedmiotu:
Warunkiem zaliczenia przedmiotu jest uzyskanie pozytywnej oceny z kolokwium.
Zgodnie z obowiązującym Regulaminem studiów w PW, przypadki nieuczciwego postępowania studentów podczas kontroli wyników nauczania będą traktowane jako podstawa do decyzji o negatywnym wyniku zaliczenia.
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Gospodarka Paliwami i Energią, nr 9, 1997 (zeszyt specjalny nt. integracji procesów). 2. Szargut J. i inni: Racjonalizacja użytkowania energii w zakładach przemysłowych. Rozdział 11: Racjonalizacja sieci wymienników ciepła. Fundacja Poszanowania Energii, Warszawa 1994. 3. Szargut J., Ziębik A.: Podstawy energetyki cieplnej. Rozdział 4. Racjonalizacja struktury układów cieplnych. PWN, Warszawa 1998.
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>Program studiów opracowany na podstawie programu nauczania zmodyfikowanego w ramach Zadania 38 Programu Rozwojowego Politechniki Warszawskiej.
</w:t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W02_01: </w:t>
      </w:r>
    </w:p>
    <w:p>
      <w:pPr/>
      <w:r>
        <w:rPr/>
        <w:t xml:space="preserve">Ma wiedzę dotyczącą podstawowych metod racjonalnego użytkowania energii, niezbędną do rozwiązywania typowych zagadnień inżynierskich. Zna podstawowe pojęcia.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M2A_W02_01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T2A_W02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U01_01: </w:t>
      </w:r>
    </w:p>
    <w:p>
      <w:pPr/>
      <w:r>
        <w:rPr/>
        <w:t xml:space="preserve">Potrafi  pozyskiwać informacje z literatury i innych źródeł, dotyczące racjonalizacji zużycia energii.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-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M2A_U01_01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T2A_U01</w:t>
      </w:r>
    </w:p>
    <w:p>
      <w:pPr>
        <w:keepNext w:val="1"/>
        <w:spacing w:after="10"/>
      </w:pPr>
      <w:r>
        <w:rPr>
          <w:b/>
          <w:bCs/>
        </w:rPr>
        <w:t xml:space="preserve">Efekt U14_01: </w:t>
      </w:r>
    </w:p>
    <w:p>
      <w:pPr/>
      <w:r>
        <w:rPr/>
        <w:t xml:space="preserve">Potrafi ocenić istniejące rozwiązanie układu wymieniającego ciepło z uwzględnieniem kryteriów eksploatacyjnych i ekonomicznych.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M2A_U14_01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T2A_U14</w:t>
      </w:r>
    </w:p>
    <w:p>
      <w:pPr>
        <w:keepNext w:val="1"/>
        <w:spacing w:after="10"/>
      </w:pPr>
      <w:r>
        <w:rPr>
          <w:b/>
          <w:bCs/>
        </w:rPr>
        <w:t xml:space="preserve">Efekt U16_01: </w:t>
      </w:r>
    </w:p>
    <w:p>
      <w:pPr/>
      <w:r>
        <w:rPr/>
        <w:t xml:space="preserve">Potrafi zaproponować ulepszone rozwiązanie układu do regeneracji ciepła w procesie.
														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M2A_U16_01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T2A_U16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K06_01: </w:t>
      </w:r>
    </w:p>
    <w:p>
      <w:pPr/>
      <w:r>
        <w:rPr/>
        <w:t xml:space="preserve">Potrafi inicjować działania w sferze doskonalenia rozwiązań technicznych, związanych z regeneracją ciepła w procesie.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Wykład: kolokwium (W1 - W7).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M2A_K06_01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T2A_K06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2024-05-04T20:13:14+02:00</dcterms:created>
  <dcterms:modified xsi:type="dcterms:W3CDTF">2024-05-04T20:13:14+02:00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