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- 20, zapoznanie się ze wskazaną literaturą - 20, przygotowanie do egzaminu - 30, razem - 70;  Razem - 70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Tech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p>
      <w:pPr>
        <w:keepNext w:val="1"/>
        <w:spacing w:after="10"/>
      </w:pPr>
      <w:r>
        <w:rPr>
          <w:b/>
          <w:bCs/>
        </w:rPr>
        <w:t xml:space="preserve">Efekt W03_02: </w:t>
      </w:r>
    </w:p>
    <w:p>
      <w:pPr/>
      <w:r>
        <w:rPr/>
        <w:t xml:space="preserve">Ma wiedzę, która pozwala postrzegać i badać procesy dynamiczne zachodzące podczas funkcjonowania urządzenia mechanicznego.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2026-09-07T22:29:56+02:00</dcterms:created>
  <dcterms:modified xsi:type="dcterms:W3CDTF">2026-09-07T22:29:56+02:00</dcterms:modified>
</cp:coreProperties>
</file>

<file path=docProps/custom.xml><?xml version="1.0" encoding="utf-8"?>
<Properties xmlns="http://schemas.openxmlformats.org/officeDocument/2006/custom-properties" xmlns:vt="http://schemas.openxmlformats.org/officeDocument/2006/docPropsVTypes"/>
</file>