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28 godz. w tym:
a) bieżące przygotowanie studenta do zajęć – 10 godz.,
b) studia literaturowe – 4 godz.,
c) prace domowe – 2 godz.,
d) wykonanie obliczeń i dokumentacji technicznej – 12 godz.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 ECTS – liczba godzin kontaktowych – 32 godz., w tym:
a) projekt – 30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54 godz., w tym:
a) projekt – 30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
i w tworzeniu dokumentacji konstrukcyjnej.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Osiński (red.), Podstawy Konstrukcji Maszyn, Wydawnictwo Naukowe PWN, 2012 (można też korzystać ze starszych publikacji).
2.	Z. Dąbrowski: Wały maszynowe. Warszawa: PWN 1999.
3.	A. Dziama, M. Michniewicz, A. Niedźwiedzki: Przekładnie zębate. Warszawa: PWN 1995.
4.	Z. Jaśkiewicz, A. Wąsiewski: Przekładnie walcowe. Warszawa: WKŁ 1995.
5.	L. Müller: Przekładnie zębate. Warszawa: WNT 1996.
6.	M. Porębska, A. Skorupa: Połączenia spójnościowe. Warszawa: PWN 1997.
7.	M. Dudziak: Przekładnie cięgnowe. Warszawa: PWN 1997.
8.	Michał Niezgodziński, Tadeusz Niezgodziński, Wzory, wykresy i tablice wytrzymałościowe, Wydawnictwo Naukowo Techniczne, 2015.
9.	J. Bajkowski: Podstawy zapisu konstrukcji. Warszawa: OWPW 2014.
10.	Normy przedmiotowe.
11.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1150-MB000-ISP-0303_W4: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1150-MB000-ISP-0303_W6: </w:t>
      </w:r>
    </w:p>
    <w:p>
      <w:pPr/>
      <w:r>
        <w:rPr/>
        <w:t xml:space="preserve">Zna zasady zapisu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2024-04-27T09:00:55+02:00</dcterms:created>
  <dcterms:modified xsi:type="dcterms:W3CDTF">2024-04-27T09:00:55+02:00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