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napędów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Dziurdź, dr inż. Maciej Zawisza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1150-MB000-ISP-0318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32 godz. w tym:
a) projekt – 30 godz.;
b) konsultacje – 2 godz.;
2) Praca własna studenta – 28 godz. w tym:
a) bieżące przygotowanie studenta do zajęć – 10 godz.,
b) studia literaturowe – 4 godz.,
c) prace domowe – 2 godz.,
d) wykonanie obliczeń i dokumentacji technicznej – 12 godz.
3) RAZEM – 60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– liczba godzin kontaktowych – 32 godz., w tym:
a) projekt – 30 godz.;
b) konsultacje –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54 godz., w tym:
a) projekt – 30 godz.;
b) bieżące przygotowanie studenta do zajęć – 10 godz.,
c) prace domowe – 2 godz.,
d) wykonanie obliczeń i dokumentacji technicznej – 12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Matematyka, Geometria wykreślna, Podstawy zapisu konstrukcji, Materiały konstrukcyjne, Technologia, metrologia i zamienność, Mechanika ogólna I i II, Wytrzymałość materiałów I, Podstawy automatyki i teorii maszyn, Napędy mechaniczne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doboru rodzaju i podstawowych parametrów mechanicznego układu przenieniesia mocy. Utrwalenie zasad działania elementów układu napędowego, podstaw konstrukcji, obliczeń wytrzymałościowych i technologii wykonania. Praktyczna realizacja zadania zaprojektowania mechanicznego układu napędowego w tym głównie fragmentu składającego się z zespołu sprzęgieł (podatnego i ciernego) oraz przekładni mechanicznych (głównie przekładni zębatej).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Wykonanie projektu mechanicznego układu napędowego:
1.	Opracowanie koncepcji układu napędowego silnik - maszyna robocza.
2.	Dobór podzespołów zunifikowanych (sprzęgła sztywne, podatne, przeciążeniowe, połączenia zaciskowe, itp.).
3.	Obliczenia przekładni zębatej jednostopniowej z kołami o zębach skośnych wg algorytmu omówionego na zajęciach, obejmujących dobór parametrów, wykonanie obliczeń geometrycznych i sprawdzających obliczeń wytrzymałościowych;
4.	Obliczenia/dobór sprzęgła podatno-ciernego rozłącznego wbudowanego pomiędzy silnik i reduktor;
5.	Opracowanie projektu technicznego sprzęgła rozłącznego,
6.	Opracowanie dokumentacji technicznej wykonawczej układu napędowego składającego się z zespołu sprzęgła i przekładni zębatej z uwzględnieniem możliwości kompensacji niewspółsiowości osi wału silnika i przekładni.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wykonania projektów przeprowadzana jest na podstawie analizy wyników obliczeń (właściwe przeprowadzenie i opis obliczeń), poprawności wykonania rysunków technicznych (zgodność z obliczeniami, zasadami zapisu konstrukcji i zastosowanymi normami przedmiotowymi) oraz na podstawie sprawdzianu wiedzy dotyczącej zagadnień zawartych w projekcie.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Dziama, M. Michniewicz, A. Niedźwiedzki: Przekładnie zębate. Warszawa PWN 1995.
2.	A. Dziama: Metodyka konstruowania maszyn. Warszawa PWN 1985.
3.	Z. Dąbrowski: Wały maszynowe. Warszawa PWN 1999.
4.	Z. Jaśkiewicz, A. Wąsiewski: Przekładnie walcowe. Warszawa WKŁ 1995.
5.	L. Müller: Przekładnie zębate. Warszawa WNT 1996.
6.	L. Muller, A. Wilk: Zębate przekładnie obiegowe. PWN 1996.
7.	K. Ochęduszko: Koła zębate. WNT 2007
8.	Z. Osiński: Podstawy konstrukcji maszyn. Warszawa: PWN 2012.
9.	Z. Osiński, W. Bajon, T. Szucki: Podstawy konstrukcji maszyn. Warszawa: PWN 1975.
10.	Z. Osiński: Sprzęgła i hamulce. Warszawa PWN 1996.
11.	S. Markusik: Sprzęgła mechaniczne. Warszawa WNT 1979.
12.	Michał Niezgodziński, Tadeusz Niezgodziński, Wzory, wykresy i tablice wytrzymałościowe, Wydawnictwo Naukowo Techniczne, 2015.
13.	Normy przedmiotowe.
14.	Inne publikacje dotyczące Podstaw Konstrukcji Maszyn.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1150-MB000-ISP-0318_W1: </w:t>
      </w:r>
    </w:p>
    <w:p>
      <w:pPr/>
      <w:r>
        <w:rPr/>
        <w:t xml:space="preserve">Posiada wiedzę o materiałach stosowanych w budowie elementów układów mechanicznych i ich podstawowych właściwościach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KMiBM_W05, KMiBM_W06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T1A_W03, T1A_W04, T1A_W07, T1A_W02, T1A_W07, InzA_W03</w:t>
      </w:r>
    </w:p>
    <w:p>
      <w:pPr>
        <w:keepNext w:val="1"/>
        <w:spacing w:after="10"/>
      </w:pPr>
      <w:r>
        <w:rPr>
          <w:b/>
          <w:bCs/>
        </w:rPr>
        <w:t xml:space="preserve">Efekt 1150-MB000-ISP-0318_W2: </w:t>
      </w:r>
    </w:p>
    <w:p>
      <w:pPr/>
      <w:r>
        <w:rPr/>
        <w:t xml:space="preserve">Posiada wiedzę o metodach obliczeń wytrzymałościowych elementów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KMiBM_W05, KMiBM_W06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T1A_W03, T1A_W04, T1A_W07, T1A_W02, T1A_W07, InzA_W03</w:t>
      </w:r>
    </w:p>
    <w:p>
      <w:pPr>
        <w:keepNext w:val="1"/>
        <w:spacing w:after="10"/>
      </w:pPr>
      <w:r>
        <w:rPr>
          <w:b/>
          <w:bCs/>
        </w:rPr>
        <w:t xml:space="preserve">Efekt 1150-MB000-ISP-0318_W4: </w:t>
      </w:r>
    </w:p>
    <w:p>
      <w:pPr/>
      <w:r>
        <w:rPr/>
        <w:t xml:space="preserve">Zna zasady projektowania prostych połączeń (gwintowe, kształtowe, wciskowe, spawane itp.) przenoszące zadane obciążenie.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KMiBM_W05, KMiBM_W06, KMiBM_W11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T1A_W03, T1A_W04, T1A_W07, T1A_W02, T1A_W07, InzA_W03, T1A_W01, T1A_W02, InzA_W02</w:t>
      </w:r>
    </w:p>
    <w:p>
      <w:pPr>
        <w:keepNext w:val="1"/>
        <w:spacing w:after="10"/>
      </w:pPr>
      <w:r>
        <w:rPr>
          <w:b/>
          <w:bCs/>
        </w:rPr>
        <w:t xml:space="preserve">Efekt 1150-MB000-ISP-0318_W5: </w:t>
      </w:r>
    </w:p>
    <w:p>
      <w:pPr/>
      <w:r>
        <w:rPr/>
        <w:t xml:space="preserve">Zna zasady projektowania wałów maszynowych i przekładni.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KMiBM_W05, KMiBM_W06, KMiBM_W11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T1A_W03, T1A_W04, T1A_W07, T1A_W02, T1A_W07, InzA_W03, T1A_W01, T1A_W02, InzA_W02</w:t>
      </w:r>
    </w:p>
    <w:p>
      <w:pPr>
        <w:keepNext w:val="1"/>
        <w:spacing w:after="10"/>
      </w:pPr>
      <w:r>
        <w:rPr>
          <w:b/>
          <w:bCs/>
        </w:rPr>
        <w:t xml:space="preserve">Efekt 1150-MB000-ISP-0318_W6: </w:t>
      </w:r>
    </w:p>
    <w:p>
      <w:pPr/>
      <w:r>
        <w:rPr/>
        <w:t xml:space="preserve">Zna zasady zapisu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InzA_W04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1150-MB000-ISP-0318_U1: </w:t>
      </w:r>
    </w:p>
    <w:p>
      <w:pPr/>
      <w:r>
        <w:rPr/>
        <w:t xml:space="preserve">Potrafi zaprojektować i zastosować w projektowanym układzie napędowym proste połączenia (gwintowe, kształtowe, wciskowe, spawane itp.) przenoszące zadane obciążenie.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KMiBM_U03, KMiBM_U04, KMiBM_U07, KMiBM_U08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InzA_U01, InzA_U02, InzA_U06, T1A_U12, InzA_U06, T1A_U01, T1A_U16, T1A_U10, T1A_U15, T1A_U16, InzA_U03, InzA_U04, InzA_U07, InzA_U08</w:t>
      </w:r>
    </w:p>
    <w:p>
      <w:pPr>
        <w:keepNext w:val="1"/>
        <w:spacing w:after="10"/>
      </w:pPr>
      <w:r>
        <w:rPr>
          <w:b/>
          <w:bCs/>
        </w:rPr>
        <w:t xml:space="preserve">Efekt 1150-MB000-ISP-0318_U2: </w:t>
      </w:r>
    </w:p>
    <w:p>
      <w:pPr/>
      <w:r>
        <w:rPr/>
        <w:t xml:space="preserve">Potrafi zaprojektować elementy mechaniczne układu napędowego.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KMiBM_U03, KMiBM_U04, KMiBM_U05, KMiBM_U07, KMiBM_U08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InzA_U01, InzA_U02, InzA_U06, T1A_U12, InzA_U06, T1A_U16, InzA_U06, T1A_U01, T1A_U16, T1A_U10, T1A_U15, T1A_U16, InzA_U03, InzA_U04, InzA_U07, InzA_U08</w:t>
      </w:r>
    </w:p>
    <w:p>
      <w:pPr>
        <w:keepNext w:val="1"/>
        <w:spacing w:after="10"/>
      </w:pPr>
      <w:r>
        <w:rPr>
          <w:b/>
          <w:bCs/>
        </w:rPr>
        <w:t xml:space="preserve">Efekt 1150-MB000-ISP-0318_U3: </w:t>
      </w:r>
    </w:p>
    <w:p>
      <w:pPr/>
      <w:r>
        <w:rPr/>
        <w:t xml:space="preserve">Potrafi właściwie zastosować zasady zapisu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KMiBM_U07, KMiBM_U10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T1A_U16, T1A_U08, T1A_U09, T1A_U15, InzA_U01,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1150-MB000-ISP-0318_K1: </w:t>
      </w:r>
    </w:p>
    <w:p>
      <w:pPr/>
      <w:r>
        <w:rPr/>
        <w:t xml:space="preserve">Potrafi samodzielnie wykonać zadanie projektowe.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KMiBM_K04, KMiBM_K05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InzA_K02,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2026-09-08T06:50:48+02:00</dcterms:created>
  <dcterms:modified xsi:type="dcterms:W3CDTF">2026-09-08T06:50:48+02:00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