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1150-MBMRC-ISP-0321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-49,  w tym: 
a)	wykład - 30 godz.;
b)	laboratorium- 15 godz.;
c)	konsultacje – 2 godz.
d)	egzamin – 2 godz.
2)   Praca własna studenta - 55 godz, w tym 
a)	10 godz. – bieżące przygotowywanie się do laboratoriów,
b)	20 godz. – studia literaturowe,
c)	15 godz. – opracowanie wyników, przygotowanie sprawozdań,,
d)	10 godz. - przygotowywanie się do sprawdzianów ,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 punkty ECTS – liczba godzin kontaktowych - 49, w tym:
a)	wykład - 30 godz.;
b)	laboratorium- 15 godz.;
c)	konsultacje – 2 godz.
d)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	15 godz. - ćwiczenia laboratoryjne,
b)	10 godz. – przygotowywanie się do ćwiczeń laboratoryjnych,
c)	15 godz. – opracowanie wyników, przygotowanie sprawozdań,
d)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Analiza naprężeń lokalnych w konstrukcji nośnej. wysięgnika teleskopowego.
Koncentracja naprężeń w elementach konstrukcji stalowej.
Obciążenia eksploatacyjne. Widmo obciążeń.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egzamin.
Laboratorium: 
•	Ocena wykonania pojedynczego ćwiczenia: krótki sprawdzian ustny/pisemny weryfikujący przygotowanie studenta do ćwiczeń tzw. „wejściówki”, poprawnie wykonane ćwiczenie, ocena sprawozdania.
•	Do zaliczenia laboratorium konieczne jest uzyskanie pozytywnej oceny (co najmniej 3) ze wszystkich ćwiczeń. 
•	Łączna ocena z zajęć wynika ze średniej arytmetycznej ocen za wszystkie ćwiczenia.
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1150-MBMRC-ISP-0321_W1: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1150-MBMRC-ISP-0321_W2: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1150-MBMRC-ISP-0321_U1: </w:t>
      </w:r>
    </w:p>
    <w:p>
      <w:pPr/>
      <w:r>
        <w:rPr/>
        <w:t xml:space="preserve">Zna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1150-MBMRC-ISP-0321_U2: </w:t>
      </w:r>
    </w:p>
    <w:p>
      <w:pPr/>
      <w:r>
        <w:rPr/>
        <w:t xml:space="preserve">Potrafi przewidzieć sposoby uszkodzenia konstrukcji nośnej, wyznaczyć miejsca krytyczne i sformułować stosowne kryteria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T1A_U08,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1150-MBMRC-ISP-0321_U3: </w:t>
      </w:r>
    </w:p>
    <w:p>
      <w:pPr/>
      <w:r>
        <w:rPr/>
        <w:t xml:space="preserve">Potrafi wyznaczyć obciążenia konstrukcji nośnej, wymagane dla rozważanego sposobu uszkodzenia.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1150-MBMRC-ISP-0321_U4: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1150-MBMRC-ISP-0321_U5: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1150-MBMRC-ISP-0321_K1: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2026-09-08T12:38:52+02:00</dcterms:created>
  <dcterms:modified xsi:type="dcterms:W3CDTF">2026-09-08T12:38:52+02:00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