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45 godzin, w tym:
a)	 15 godz. – bieżące przygotowywanie się studenta do wykładu;
b)	 15 godz. – studia literaturowe;
c)	 15 godz. – przygotowywanie się studenta do kolokwiów.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1150-MBNHY-ISP-0405_W1: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1150-MBNHY-ISP-0405_W5: </w:t>
      </w:r>
    </w:p>
    <w:p>
      <w:pPr/>
      <w:r>
        <w:rPr/>
        <w:t xml:space="preserve">Zna podstawowe kryteria doboru parametrów zawieszenia pojazdu i znormalizowane wymagania metod badania własności dynamicznych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1150-MBNHY-ISP-0405_U1: </w:t>
      </w:r>
    </w:p>
    <w:p>
      <w:pPr/>
      <w:r>
        <w:rPr/>
        <w:t xml:space="preserve">Potrafi sformułować stosowne kryteria projektowe dla badań dynamiki nowoprojektowanego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1150-MBNHY-ISP-0405_K1: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2026-06-17T00:00:15+02:00</dcterms:created>
  <dcterms:modified xsi:type="dcterms:W3CDTF">2026-06-17T00:00:15+02:00</dcterms:modified>
</cp:coreProperties>
</file>

<file path=docProps/custom.xml><?xml version="1.0" encoding="utf-8"?>
<Properties xmlns="http://schemas.openxmlformats.org/officeDocument/2006/custom-properties" xmlns:vt="http://schemas.openxmlformats.org/officeDocument/2006/docPropsVTypes"/>
</file>