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udział w wykładach: 8 x 2 godz. = 16 godz., 
b) udział w konsultacjach: 4 x 2 godz = 8 godz.,
c) obecność na zaliczeniu: 3 godz.
2) Praca własna studenta - 23 godzin, w tym:
a) zapoznanie z literaturą przedmiotu: 8 godz.,
b) przygotowanie do zaliczenia: 15 godz.
Łącznie nakład pracy studenta wynosi 50 godzin,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punktu ECTS - liczba godzin kontaktowych - 27 godzin, w tym:
a) udział w wykładach: 8 x 2 godz. = 16 godz., 
b) udział w konsultacjach: 4 x 2 godz = 8 godz.,
c) obecność na zaliczeniu: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30 -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biznes plany, przyczyny niepowodzenia w planowaniu.
Struktury organizacyjne – modele i parametry struktur organizacyjnych. 
Studia przypadków - sukcesy i klęski menedżerów w zarządzaniu firmami.
</w:t>
      </w:r>
    </w:p>
    <w:p>
      <w:pPr>
        <w:keepNext w:val="1"/>
        <w:spacing w:after="10"/>
      </w:pPr>
      <w:r>
        <w:rPr>
          <w:b/>
          <w:bCs/>
        </w:rPr>
        <w:t xml:space="preserve">Metody oceny: </w:t>
      </w:r>
    </w:p>
    <w:p>
      <w:pPr>
        <w:spacing w:before="20" w:after="190"/>
      </w:pPr>
      <w:r>
        <w:rPr/>
        <w:t xml:space="preserve">1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GP.NMK201_W1: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GP.NMK201_W2: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keepNext w:val="1"/>
        <w:spacing w:after="10"/>
      </w:pPr>
      <w:r>
        <w:rPr>
          <w:b/>
          <w:bCs/>
        </w:rPr>
        <w:t xml:space="preserve">Efekt GP.NMK201_W3: </w:t>
      </w:r>
    </w:p>
    <w:p>
      <w:pPr/>
      <w:r>
        <w:rPr/>
        <w:t xml:space="preserve">Rozumie konieczność  interdyscyplinarnego podejścia w planowaniu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w:t>
      </w:r>
    </w:p>
    <w:p>
      <w:pPr>
        <w:pStyle w:val="Heading3"/>
      </w:pPr>
      <w:bookmarkStart w:id="3" w:name="_Toc3"/>
      <w:r>
        <w:t>Profil ogólnoakademicki - umiejętności</w:t>
      </w:r>
      <w:bookmarkEnd w:id="3"/>
    </w:p>
    <w:p>
      <w:pPr>
        <w:keepNext w:val="1"/>
        <w:spacing w:after="10"/>
      </w:pPr>
      <w:r>
        <w:rPr>
          <w:b/>
          <w:bCs/>
        </w:rPr>
        <w:t xml:space="preserve">Efekt GP.NMK201_U1: </w:t>
      </w:r>
    </w:p>
    <w:p>
      <w:pPr/>
      <w:r>
        <w:rPr/>
        <w:t xml:space="preserve">Potrafi tworzyć  opracowania z merytorycznymi argumentamii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GP.NMK201_U3: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keepNext w:val="1"/>
        <w:spacing w:after="10"/>
      </w:pPr>
      <w:r>
        <w:rPr>
          <w:b/>
          <w:bCs/>
        </w:rPr>
        <w:t xml:space="preserve">Efekt GP.NMK201_U4: </w:t>
      </w:r>
    </w:p>
    <w:p>
      <w:pPr/>
      <w:r>
        <w:rPr/>
        <w:t xml:space="preserve">Potrafi ocenić różne struktury organizacyjne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GP.NMK201_K1: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GP.NMK201_K2: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2024-04-27T20:56:42+02:00</dcterms:created>
  <dcterms:modified xsi:type="dcterms:W3CDTF">2024-04-27T20:56:42+02:00</dcterms:modified>
</cp:coreProperties>
</file>

<file path=docProps/custom.xml><?xml version="1.0" encoding="utf-8"?>
<Properties xmlns="http://schemas.openxmlformats.org/officeDocument/2006/custom-properties" xmlns:vt="http://schemas.openxmlformats.org/officeDocument/2006/docPropsVTypes"/>
</file>