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zajęć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organów Służby Geodezyjnej i Kartograficznej. Zasady prowadzenia i udostępniania państwowego zasobu geodezyjnego i kartograficznego, Zgłaszanie prac geodezyjnych. Ochrona znaków geodezyjnych. Prace geodezyjne na terenach zamkniętych. Uprawnienia zawodowe w dziedzinie geodezji i kartografii.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semestru.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4.	Rozporządzenie MAiC z 31 stycznia 2014r. w sprawie uprawnień zawodowych w dziedzinie geodezji i kartografii.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GK.NMK403_W1: </w:t>
      </w:r>
    </w:p>
    <w:p>
      <w:pPr/>
      <w:r>
        <w:rPr/>
        <w:t xml:space="preserve">zna szczegółowe regulacje prawne z zakresu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GK.NMK403_U1: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2024-05-04T21:11:54+02:00</dcterms:created>
  <dcterms:modified xsi:type="dcterms:W3CDTF">2024-05-04T21:11:54+02:00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