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GK.NMS320</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uczestnictwo w wykładach - 8 godzin
b) uczestnictwo w ćwiczeniach - 16 godzin,
c) udział w konsultacjach związanych z realizacją ćwiczeń - 5 godzin.
2) Praca własna studenta -  46 godzin, w tym:
a) zapoznanie się ze wskazaną literaturą - 15 godzin,
b)  realizacja zadań projektowych w domu - 15 godzin,
c) przygotowanie do egzaminu  i obecność na egzaminie - 16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- 29 godzin, w tym:
a) uczestnictwo w wykładach - 8 godzin
b) uczestnictwo w ćwiczeniach - 16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- 46 godzin, w tym:
a) uczestnictwo w ćwiczeniach - 16 godzin,
b)  realizacja zadań projektowych w domu - 15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 Zaliczenie przedmiotu Kataster Nieruchomości prowadzonego na sem.1 studiów drugiego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katastralnych.Przedstawienie katastru jako podstawy tworzenia Zintegrowanego Systemu Informacji o Nieruchomościach. Zapoznanie się z systemami katastralnymi funkcjonującymi w krajach Unii Europejskiej oraz kierunkami rozwoju katastru na świecie. Cel całego przedmiotu tj. sem. 1 oraz sem. 3.</w:t>
      </w:r>
    </w:p>
    <w:p>
      <w:pPr>
        <w:keepNext w:val="1"/>
        <w:spacing w:after="10"/>
      </w:pPr>
      <w:r>
        <w:rPr>
          <w:b/>
          <w:bCs/>
        </w:rPr>
        <w:t xml:space="preserve">Treści kształcenia: </w:t>
      </w:r>
    </w:p>
    <w:p>
      <w:pPr>
        <w:spacing w:before="20" w:after="190"/>
      </w:pPr>
      <w:r>
        <w:rPr/>
        <w:t xml:space="preserve">Wykład:
Aktualne procedury przepływu informacji katastralnej w Polsce – między systemami katastru i ksiąg wieczystych. Synchronizacja danych katastru nieruchomości i ksiąg     wieczystych – procedura i niezbędna dokumentacja geodezyjno-kartograficzna. Zintegrowany System Informacji o Nieruchomościach (ZSIN) – założenia systemu, program budowy ZSIN  w Polsce. Aspekt historyczny związany z budową Zintegrowanego Systemu Katastralnego (ZSK) w Polsce (Projekty PHARE i wdrożona Integrująca Platforma Elektroniczna oraz programy MATRA l, MATRA 2). System katastralny w Polsce w świetle teorii martwego kapitału Hernando de Soto. Systemy katastralne w wybranych krajach Unii Europejskiej (Holandia, Austria, Szwecja, Niemcy – wybrane landy) – aspekty organizacyjne i techniczne, powiązanie komponentu katastru fizycznego z księgami wieczystymi oraz odniesienie do rozwiązań polskich. Światowe wizje rozwoju systemów katastralnych (Cadastre 2014 – a vision for a future cadastral system, Cadastre 2014 and Beyond). Kataster 3D – idea katastru trójwymiarowego, rozwiązania istniejące, proponowane rozwiązania modelowe, kierunki badań.
Ćwiczenia projektowe:
Wykonanie przykładów oznaczeń właścicieli i władających nieruchomościami Skarbu Państwa, Jednostek Samorządu Terytorialnego oraz innych podmiotów w celu wprowadzenia ich do bazy danych katastralnych.
Przygotowanie dokumentacji (operatu technicznego geodezyjnej inwentaryzacji powykonawczej budynku) będącej podstawą do zarejestrowania budynku w katastrze. Sporządzenie dokumentacji w postaci analogowej obejmującej w szczególności: Zgłoszenie pracy geodezyjnej, Sprawozdanie techniczne, Szkic pomiaru sytuacyjnego, Obliczenia pól powierzchni działek ewidencyjnych oraz powierzchni zabudowy wraz z załącznikiem graficznym, Wykaz obwodnic działek i użytków gruntowych, Wykaz współrzędnych i rzędnych punktów, Wniosek właściciela o wprowadzenie zmian w e.g.i.b.  (kopia), Wykaz zmian danych ewidencyjnych dot. działki wraz z załącznikiem graficznym, Arkusz danych ewidencyjnych dotyczący budynku, Zaświadczenie o projektowanym numerze porządkowym nieruchomości. 
Pozyskanie danych do numerycznego opisu granic działek ewidencyjnych na podstawie dokumentacji źródłowej (zarysy pomiarowe, szkice wyznaczenia działek po scaleniu itd. - transformacja Helmerta współrzędnych punktów osnowy z układu 75 do układu PUWG 2000 oraz obliczenie współrzędnych punktów granicznych działek) oraz sporządzenie dokumentacji w postaci protokołu wyznaczenia punktów granicznych ujawnionych uprzednio w ewidencji gruntów i budynków wraz z obliczeniami powierzchni działek, szkicem podstawowym, zawiadomieniami stron o ww. czynnościach i sprawozdaniem technicznym. </w:t>
      </w:r>
    </w:p>
    <w:p>
      <w:pPr>
        <w:keepNext w:val="1"/>
        <w:spacing w:after="10"/>
      </w:pPr>
      <w:r>
        <w:rPr>
          <w:b/>
          <w:bCs/>
        </w:rPr>
        <w:t xml:space="preserve">Metody oceny: </w:t>
      </w:r>
    </w:p>
    <w:p>
      <w:pPr>
        <w:spacing w:before="20" w:after="190"/>
      </w:pPr>
      <w:r>
        <w:rPr/>
        <w:t xml:space="preserve">Punkty ECTS (3)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Hernando de Soto „Tajemnica kapitału” Wyd. Fijorr Publishing and Polish-American Foundation for Economic Reseach and Education, Chciago-Warszawa 2002. 
Orzecznictwo sądowe w omawianym zakresie.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GK.NMS320_W1: </w:t>
      </w:r>
    </w:p>
    <w:p>
      <w:pPr/>
      <w:r>
        <w:rPr/>
        <w:t xml:space="preserve">Ma specjalistyczną, poszerzoną i uporządkowaną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T2A_W09, T2A_W11, T2A_W02, T2A_W03, T2A_W04, T2A_W05</w:t>
      </w:r>
    </w:p>
    <w:p>
      <w:pPr>
        <w:pStyle w:val="Heading3"/>
      </w:pPr>
      <w:bookmarkStart w:id="3" w:name="_Toc3"/>
      <w:r>
        <w:t>Profil ogólnoakademicki - umiejętności</w:t>
      </w:r>
      <w:bookmarkEnd w:id="3"/>
    </w:p>
    <w:p>
      <w:pPr>
        <w:keepNext w:val="1"/>
        <w:spacing w:after="10"/>
      </w:pPr>
      <w:r>
        <w:rPr>
          <w:b/>
          <w:bCs/>
        </w:rPr>
        <w:t xml:space="preserve">Efekt GK.NMS320_U1: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K_U15</w:t>
      </w:r>
    </w:p>
    <w:p>
      <w:pPr>
        <w:spacing w:before="20" w:after="190"/>
      </w:pPr>
      <w:r>
        <w:rPr>
          <w:b/>
          <w:bCs/>
        </w:rPr>
        <w:t xml:space="preserve">Powiązane efekty obszarowe: </w:t>
      </w:r>
      <w:r>
        <w:rPr/>
        <w:t xml:space="preserve">T2A_U01, T2A_U09, T2A_U10, T2A_U11, T2A_U07, T2A_U08, T2A_U10, T2A_U12, T2A_U16, T2A_U15</w:t>
      </w:r>
    </w:p>
    <w:p>
      <w:pPr>
        <w:pStyle w:val="Heading3"/>
      </w:pPr>
      <w:bookmarkStart w:id="4" w:name="_Toc4"/>
      <w:r>
        <w:t>Profil ogólnoakademicki - kompetencje społeczne</w:t>
      </w:r>
      <w:bookmarkEnd w:id="4"/>
    </w:p>
    <w:p>
      <w:pPr>
        <w:keepNext w:val="1"/>
        <w:spacing w:after="10"/>
      </w:pPr>
      <w:r>
        <w:rPr>
          <w:b/>
          <w:bCs/>
        </w:rPr>
        <w:t xml:space="preserve">Efekt GK.NMS320_K1: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2024-05-05T05:53:59+02:00</dcterms:created>
  <dcterms:modified xsi:type="dcterms:W3CDTF">2024-05-05T05:53:59+02:00</dcterms:modified>
</cp:coreProperties>
</file>

<file path=docProps/custom.xml><?xml version="1.0" encoding="utf-8"?>
<Properties xmlns="http://schemas.openxmlformats.org/officeDocument/2006/custom-properties" xmlns:vt="http://schemas.openxmlformats.org/officeDocument/2006/docPropsVTypes"/>
</file>