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geodezyjnych pomiarów szczegółowych - 8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o różnym pokryciu i użytkowaniu.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Geo4ce.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"obrona"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 Rozporządzenie Ministra Administracji i Cyfryzacji z dn. 12 lutego 2013 r. w sprawie bazy danych geodezyjnej ewidencji sieci uzbrojenia terenu, bazy danych obiektów topograficznych oraz mapy zasadniczej, Dz.U. z dn. 21 marca 2013 r., poz. 383;
5.  Rozporządzenie Ministra Administracji i Cyfryzacji z dn. 14 lutego 2012 r. w sprawie osnów geodezyjnych, grawimetrycznych i magnetycznych, Dz.U. z dn. 30 marca 2012 r., poz. 352;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GK.SIK621_U01: </w:t>
      </w:r>
    </w:p>
    <w:p>
      <w:pPr/>
      <w:r>
        <w:rPr/>
        <w:t xml:space="preserve">Potrafi zakładać punkty osnów szczegółowych metodą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K_U09, K_U10, K_U11,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T1A_U08, T1A_U09, T1A_U13, T1A_U15, T1A_U14, 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GK.SIK621_K01: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GK.SIK621_K02: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GK.SIK621_K03: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2026-02-09T13:18:27+01:00</dcterms:created>
  <dcterms:modified xsi:type="dcterms:W3CDTF">2026-02-09T13:18:27+01:00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