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Uwarunkowania strategii rozwoju gmin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31 godzin, w tym:
a) obecność na wykładach - 8 godzin 
b) obecność na ćwiczeniach - 16 godzin
c) udział w konsultacjach - 5 godzin
d) udział w egzaminie - 2 godziny
2. Praca własna studenta – 44 godziny, w tym: 
a) przygotowanie do zajęć ćwiczeniowych - 16 godzin
b) dokończenie projektów - 10 godzin
c) przygotowanie do egzaminu - 18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31, w tym:
a) obecność na wykładach - 8 godzin 
b) obecność na ćwiczeniach - 16 godzin
c) udział w konsultacjach - 5 godzin
d) udział w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pkt. ECTS - 52 godziny, w tym:
a) obecność na ćwiczeniach - 16 godzin
b) przygotowanie do zajęć ćwiczeniowych - 16 godzin
c) dokończenie projektów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jednostek samorządu terytorialnego, procesach społecznych i gospodarczych.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o zasadach i metodach opracowywania strategii rozwoju lokalnego, ich zakresach merytorycznych oraz umiejętność opracowywania i analizy strategii rozwoju gmin. Pozyskanie umiejętności analizy dokumentów polityki rozwoju na poziomie dokumentów Unii Europejskiej, krajowym, regionalnym i lokalnym oraz umiejętności stosowania analizy SWOT i opracowywania wybranych elementów strategii rozwoju lokalnego. Orientacja w zakresie podstawowych instrumentów rozwoju lokalnego (typologia, cele i zasady funkcjonowania, dostępność).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Zadania i ramy funkcjonowania samorządu terytorialnego a planowanie strategiczne.
2. Uwarunkowania rozwoju lokalnego.
3. Kompetencje samorządu w kształtowaniu strategii rozwoju; powiązania z sektorowymi i regionalnymi programami rozwoju.
4. Etapy konstruowania strategii - diagnoza stanu, ocena zasobów, cele strategiczne, programy i środki realizacji celów strategicznych. 
5. Metody opracowywania strategii rozwoju gminy.
6. Ewaluacja i modyfikacja strategii.
7. Lokalne instrumenty wspierania rozwoju gospodarczego.
ĆWICZENIA PROJEKTOWE:
1. Dokumenty strategiczne ponadlokalne i ich znaczenie dla rozwoju gmin – dyskusja i opinia na temat przykładowego dokumentu.
2. Analiza strategiczna SWOT – opracowanie dla wybranych gmin.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zajęć. Ocenę końcową z  ćwiczeń projektowych ustala się licząc średnią arytmetyczną z wykonanych ćwiczeń projektowych.
Warunkiem zaliczenia wykładu jest uzyskanie pozytywnej oceny z egzaminu pisemnego.
Ocenę łączną z przedmiotu ustala się licząc średnią arytmetyczną z egzaminu (waga 50%) i ćwiczeń projektowych (waga 50%), przy czym obydwa rodzaje zajęć wpływające na ocenę łączną muszą być zaliczone.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Bończak-Kucharczyk Ewa, 2008, Strategie rozwoju regionów i miast. Metodologia i wskazówki praktyczne, Minigo, Warszawa.
2. Krajowa Polityka Miejska (2015, strona www MIiR).
3. Krajowa Strategia Rozwoju Regionalnego 2010-2020: Regiony, Miasta, Obszary wiejskie (strona www MIiR).
4. Kłosowski W., Warda J., 2001, Wyspy szans. Jak budować strategie rozwoju lokalnego? W&amp;K.
5. Sztando A., 2010, Wzorzec procedury budowy strategii rozwoju jednostki samorządu lokalnego, w: Rozwój lokalny i regionalny. Znaczenie wsparcia udzielanego przez jednostki samorządu terytorialnego, Zeszyty Naukowe Nr 31/2010 Wyższej Szkoły Bankowej, Poznań.
6. Jewtuchowicz A., Rzeńca A. (red.), 2009, Współczesne wyzwania miast i regionów, Wydawnictwo Uniwersytetu Łódzkiego, Łódź.
7. Strony internetowe gmin, UE, ministerstw, organizacji samorządu terytorialnego.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GP.NIK508_W1: </w:t>
      </w:r>
    </w:p>
    <w:p>
      <w:pPr/>
      <w:r>
        <w:rPr/>
        <w:t xml:space="preserve">rozumie zakres i znaczenie strategii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GP.NIK508_W2: </w:t>
      </w:r>
    </w:p>
    <w:p>
      <w:pPr/>
      <w:r>
        <w:rPr/>
        <w:t xml:space="preserve">zna podstawy i zasady rozwoju gospodarczego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K_W19_SR, K_W19_UR, K_W24_SR,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T1A_W03, T1A_W04, T1A_W03, T1A_W04, S1A_W06, T1A_W03, T1A_W08, T1A_W01, T1A_W04</w:t>
      </w:r>
    </w:p>
    <w:p>
      <w:pPr>
        <w:keepNext w:val="1"/>
        <w:spacing w:after="10"/>
      </w:pPr>
      <w:r>
        <w:rPr>
          <w:b/>
          <w:bCs/>
        </w:rPr>
        <w:t xml:space="preserve">Efekt GP.NIK508_W3: </w:t>
      </w:r>
    </w:p>
    <w:p>
      <w:pPr/>
      <w:r>
        <w:rPr/>
        <w:t xml:space="preserve">ma wiedzę na temat podstawowych instrumentów i programów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K_W19_SR, K_W19_UR, K_W24_SR,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T1A_W03, T1A_W04, T1A_W03, T1A_W04, S1A_W06, T1A_W03, T1A_W08,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GP.NIK508_U1: </w:t>
      </w:r>
    </w:p>
    <w:p>
      <w:pPr/>
      <w:r>
        <w:rPr/>
        <w:t xml:space="preserve">potrafi analizować i oceniać krajowe, regionalne i lokalne dokumenty strategiczne dotyczące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GP.NIK508_U2: </w:t>
      </w:r>
    </w:p>
    <w:p>
      <w:pPr/>
      <w:r>
        <w:rPr/>
        <w:t xml:space="preserve">potrafi korzystać z różnych źródeł informacji dla analizy uwarunkwań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P1A_U07, S1A_U03</w:t>
      </w:r>
    </w:p>
    <w:p>
      <w:pPr>
        <w:keepNext w:val="1"/>
        <w:spacing w:after="10"/>
      </w:pPr>
      <w:r>
        <w:rPr>
          <w:b/>
          <w:bCs/>
        </w:rPr>
        <w:t xml:space="preserve">Efekt GP.NIK508_U3: </w:t>
      </w:r>
    </w:p>
    <w:p>
      <w:pPr/>
      <w:r>
        <w:rPr/>
        <w:t xml:space="preserve">potrafi opracować i zaprezentować (indywidualnie i w zespole) opinię na temat strategii rozwoju gminy lub wybranych jej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S1A_U04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GP.NIK508_K1: </w:t>
      </w:r>
    </w:p>
    <w:p>
      <w:pPr/>
      <w:r>
        <w:rPr/>
        <w:t xml:space="preserve">potrafi ocenić efekty realizacji strategii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T1A_K03, T1A_K04, T1A_K06</w:t>
      </w:r>
    </w:p>
    <w:p>
      <w:pPr>
        <w:keepNext w:val="1"/>
        <w:spacing w:after="10"/>
      </w:pPr>
      <w:r>
        <w:rPr>
          <w:b/>
          <w:bCs/>
        </w:rPr>
        <w:t xml:space="preserve">Efekt GP.NIK508_K2: </w:t>
      </w:r>
    </w:p>
    <w:p>
      <w:pPr/>
      <w:r>
        <w:rPr/>
        <w:t xml:space="preserve">rozumie potrzebę systematycznej analizy polityki rozwoju regionalnego, opinii, raportów, Koncepcji Przestrzennego Zagospodarowania Kraju i innych dokumentów strategicznych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2026-03-01T06:04:31+01:00</dcterms:created>
  <dcterms:modified xsi:type="dcterms:W3CDTF">2026-03-01T06:04:31+01:00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