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prof. nzw. dr hab. inż. Wioletta Podgórska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4
3. Godziny kontaktowe z nauczycielem akademickim w ramach zaliczeń i egzaminów 8
4. Przygotowanie do zajęć (studiowanie literatury, odrabianie prac domowych itp.) 10
5. Zbieranie informacji, opracowanie wyników 20
6. Przygotowanie sprawozdania, prezentacji, raportu, dyskusji 20
7. Nauka samodzielna – przygotowanie do zaliczenia/kolokwium/egzaminu 25
Sumaryczne obciążenie studenta pracą 177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Egzamin składa się z obowiązkowej części pisemnej (warunkiem przystąpienia do egzaminu pisemnego jest zaliczenie projektów). Dodatkowo można przystąpić do egzaminu ustnego w celu podwyższenia oceny.
Studenci wykonują trzy projekty. Obrona projektu polega na rozwiązaniu problemu związanego tematycznie z projektem oraz odpowiedzi na pytania dotyczące sposobu wykonania projektu i pytania sprawdzające znajomość teorii.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 (ma wiedzę niezbędną do bilansowania i modelowania
reaktorów chemicznych).</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podstawowymi programami komputerowymi komercyjnymi oraz potrafi
przygotować własne proste programy, wspomagające realizację zadań typowych dla inżynierii
chemicznej i procesowej.</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T2A_U07</w:t>
      </w:r>
    </w:p>
    <w:p>
      <w:pPr>
        <w:keepNext w:val="1"/>
        <w:spacing w:after="10"/>
      </w:pPr>
      <w:r>
        <w:rPr>
          <w:b/>
          <w:bCs/>
        </w:rPr>
        <w:t xml:space="preserve">Efekt U2: </w:t>
      </w:r>
    </w:p>
    <w:p>
      <w:pPr/>
      <w:r>
        <w:rPr/>
        <w:t xml:space="preserve">Potrafi modelować przebieg procesów chemicznych w reaktorach (potrafi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 </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2024-05-06T13:24:23+02:00</dcterms:created>
  <dcterms:modified xsi:type="dcterms:W3CDTF">2024-05-06T13:24:23+02:00</dcterms:modified>
</cp:coreProperties>
</file>

<file path=docProps/custom.xml><?xml version="1.0" encoding="utf-8"?>
<Properties xmlns="http://schemas.openxmlformats.org/officeDocument/2006/custom-properties" xmlns:vt="http://schemas.openxmlformats.org/officeDocument/2006/docPropsVTypes"/>
</file>