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dźwigów osobowych</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45 godz, w tym 
a)	15 godz. – bieżące przygotowywanie się do zajęć,
b)	15 godz. – studia literaturowe,
c)	15 godz. - przygotowywanie się do kolokwiów.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przez studentów umiejętności rozpoznawania podstawowych zadań inżynierskich w dziedzinie budowy i sterowania dźwigów.</w:t>
      </w:r>
    </w:p>
    <w:p>
      <w:pPr>
        <w:keepNext w:val="1"/>
        <w:spacing w:after="10"/>
      </w:pPr>
      <w:r>
        <w:rPr>
          <w:b/>
          <w:bCs/>
        </w:rPr>
        <w:t xml:space="preserve">Treści kształcenia: </w:t>
      </w:r>
    </w:p>
    <w:p>
      <w:pPr>
        <w:spacing w:before="20" w:after="190"/>
      </w:pPr>
      <w:r>
        <w:rPr/>
        <w:t xml:space="preserve">Wstęp. Definicja dźwigu. Podział dźwigów. 
Usytuowanie dźwigu w budynku. Szyby - podszybie, nadszybie, część robocza. Cykl pracy dźwigu. Przebieg prędkości jazdy od startu do zatrzymania.
Analiza ruchu pasażerskiego dźwigu. Grupy dźwigów.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Dokumentacja techniczna dźwigów. Przykłady projektów montażowych.
Nadzór nad bezpieczną eksploatacją dźwigów – UDT, TDT, WDT.
</w:t>
      </w:r>
    </w:p>
    <w:p>
      <w:pPr>
        <w:keepNext w:val="1"/>
        <w:spacing w:after="10"/>
      </w:pPr>
      <w:r>
        <w:rPr>
          <w:b/>
          <w:bCs/>
        </w:rPr>
        <w:t xml:space="preserve">Metody oceny: </w:t>
      </w:r>
    </w:p>
    <w:p>
      <w:pPr>
        <w:spacing w:before="20" w:after="190"/>
      </w:pPr>
      <w:r>
        <w:rPr/>
        <w:t xml:space="preserve">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ELECTRIC LIFTS, Philips, R.S., Sir Isaac Pitman &amp; Sons Ltd, London, 1966.
4.	KONSERWACJA DŹWIGÓW ELEKTRYCZNYCH, Chimiak, M., Wydawnictwo KaBe, Krosno, 2008.
5.	BUDOWA I KONSERWACJA URZĄDZEŃ DO PRZEMIESZCZANIA OSÓB NIEPEŁNOSPRAWNYCH, Chimiak M., Wydawnictwo KaBe, Krosno, 2013.
6.	OBSŁUGA DŹWIGÓW, Buczek K., , Wydawnictwo KaBe, Krosno, 2007.
7.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1150-MTPMR-ISP-0405_W1: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KMchtr_W06, KMchtr_W07, KMChtr_W08, KMchtr_W11, KMchtr_W12, KMchtr_W15, KMchtr_W16, KMChtr_W17, KMchtr_W18</w:t>
      </w:r>
    </w:p>
    <w:p>
      <w:pPr>
        <w:spacing w:before="20" w:after="190"/>
      </w:pPr>
      <w:r>
        <w:rPr>
          <w:b/>
          <w:bCs/>
        </w:rPr>
        <w:t xml:space="preserve">Powiązane efekty obszarowe: </w:t>
      </w:r>
      <w:r>
        <w:rPr/>
        <w:t xml:space="preserve">T1A_W04, InzA_W04, T1A_W02, T1A_W04, InzA_W02, T1A_W02, T1A_W04, T1A_W07, InzA_W02, T1A_W02, T1A_W03, T1A_W04, InzA_W04, InzA_W05, T1A_W03, T1A_W04, T1A_W05, InzA_W02, T1A_W03, T1A_W04, T1A_W07, InzA_W02, T1A_W04, T1A_W07, InzA_W02, T1A_W03, T1A_W04, T1A_W07, InzA_W02, InzA_W05, T1A_W03, T1A_W04, T1A_W07, InzA_W02</w:t>
      </w:r>
    </w:p>
    <w:p>
      <w:pPr>
        <w:pStyle w:val="Heading3"/>
      </w:pPr>
      <w:bookmarkStart w:id="3" w:name="_Toc3"/>
      <w:r>
        <w:t>Profil ogólnoakademicki - umiejętności</w:t>
      </w:r>
      <w:bookmarkEnd w:id="3"/>
    </w:p>
    <w:p>
      <w:pPr>
        <w:keepNext w:val="1"/>
        <w:spacing w:after="10"/>
      </w:pPr>
      <w:r>
        <w:rPr>
          <w:b/>
          <w:bCs/>
        </w:rPr>
        <w:t xml:space="preserve">Efekt 1150-MTPMR-ISP-0405_U1: </w:t>
      </w:r>
    </w:p>
    <w:p>
      <w:pPr/>
      <w:r>
        <w:rPr/>
        <w:t xml:space="preserve">Potrafi przeprowadzić analizę pracy danego podzespołu w ramach całej struktury dźwigu oraz w kontekście uwarunkowań zewnętrznych (technicznych -pozamechanicznych oraz formalnych).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KMchtr_U03</w:t>
      </w:r>
    </w:p>
    <w:p>
      <w:pPr>
        <w:spacing w:before="20" w:after="190"/>
      </w:pPr>
      <w:r>
        <w:rPr>
          <w:b/>
          <w:bCs/>
        </w:rPr>
        <w:t xml:space="preserve">Powiązane efekty obszarowe: </w:t>
      </w:r>
      <w:r>
        <w:rPr/>
        <w:t xml:space="preserve">T1A_U03, InzA_U02</w:t>
      </w:r>
    </w:p>
    <w:p>
      <w:pPr>
        <w:keepNext w:val="1"/>
        <w:spacing w:after="10"/>
      </w:pPr>
      <w:r>
        <w:rPr>
          <w:b/>
          <w:bCs/>
        </w:rPr>
        <w:t xml:space="preserve">Efekt 1150-MTPMR-ISP-0405-U2: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KMChtr_U16, KMchtr_U22</w:t>
      </w:r>
    </w:p>
    <w:p>
      <w:pPr>
        <w:spacing w:before="20" w:after="190"/>
      </w:pPr>
      <w:r>
        <w:rPr>
          <w:b/>
          <w:bCs/>
        </w:rPr>
        <w:t xml:space="preserve">Powiązane efekty obszarowe: </w:t>
      </w:r>
      <w:r>
        <w:rPr/>
        <w:t xml:space="preserve">T1A_U08, T1A_U09, T1A_U10, T1A_U10, InzA_U03</w:t>
      </w:r>
    </w:p>
    <w:p>
      <w:pPr>
        <w:keepNext w:val="1"/>
        <w:spacing w:after="10"/>
      </w:pPr>
      <w:r>
        <w:rPr>
          <w:b/>
          <w:bCs/>
        </w:rPr>
        <w:t xml:space="preserve">Efekt 1150-MTPMR-ISP-0405-U3: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 KMchtr_U23</w:t>
      </w:r>
    </w:p>
    <w:p>
      <w:pPr>
        <w:spacing w:before="20" w:after="190"/>
      </w:pPr>
      <w:r>
        <w:rPr>
          <w:b/>
          <w:bCs/>
        </w:rPr>
        <w:t xml:space="preserve">Powiązane efekty obszarowe: </w:t>
      </w:r>
      <w:r>
        <w:rPr/>
        <w:t xml:space="preserve">T1A_U11, T1A_U12, InzA_U06, InzA_U08, T1A_U11</w:t>
      </w:r>
    </w:p>
    <w:p>
      <w:pPr>
        <w:keepNext w:val="1"/>
        <w:spacing w:after="10"/>
      </w:pPr>
      <w:r>
        <w:rPr>
          <w:b/>
          <w:bCs/>
        </w:rPr>
        <w:t xml:space="preserve">Efekt 1150-MTPMR-ISP-0405-U4: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1150-MTPMR-ISP-0405-K1: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2024-05-03T17:40:48+02:00</dcterms:created>
  <dcterms:modified xsi:type="dcterms:W3CDTF">2024-05-03T17:40:48+02:00</dcterms:modified>
</cp:coreProperties>
</file>

<file path=docProps/custom.xml><?xml version="1.0" encoding="utf-8"?>
<Properties xmlns="http://schemas.openxmlformats.org/officeDocument/2006/custom-properties" xmlns:vt="http://schemas.openxmlformats.org/officeDocument/2006/docPropsVTypes"/>
</file>