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 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1150-MTPOJ-ISP-0321</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- 46, w tym:
a) wykład – 30 godz.;
b) laboratorium – 15 godz.;
c) konsultacje – 1 godz.;
2) Praca własna studenta - 40 godzin, w tym:
a)	 6 godz. – bieżące przygotowywanie się studenta do wykładu;
b)	 6 godz. – studia literaturowe;
c)	 4 godz. – przygotowywanie się studenta do kolokwiów;
d)	 12 godz. – przygotowywanie się studenta do ćwiczeń;
e)	 12 godz. – wykonanie sprawozdań.
3) RAZEM – 86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- 46, w tym:
a) wykład – 30 godz.;
b) laboratorium – 15 godz.;
c)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punktów ECTS – 39 godz., w tym:
1) ćwiczenia laboratoryjne – 15 godz.;
2) 12 godz. – przygotowywanie się do ćwiczeń laboratoryjnych;
3) 12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Nabycie przez studentów umiejętności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Wykład:
Zaliczany jest na podstawie dwóch pisemnych kolokwiów.
Laboratorium:
Przed rozpoczęciem ćwiczenia sprawdzane jest przygotowanie studentów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Warszawa: WNT 1993.
2.	Górny A., Szwabik B.: Ciągniki, wybrane zagadnienia teorii i budowy. Warszawa, Oficyna Wydawnicza PW 1992. 
3.	Jaśkiewicz Z.: Mechaniczne skrzynki przekładniowe. Warszawa: WKŁ 1975.
4.	Jaśkiewicz Z.: Mechaniczne skrzynki przekładniowe. Warszawa: WKŁ 1975.
5.	Jaśkiewicz Z.: Mosty napędowe. Warszawa, WKŁ 1976.
6.	Jaśkiewicz Z.: Przekładnie stożkowe i hipoidalne. Warszawa: WKŁ 1978.
7.	Jaśkiewicz Z., Wąsiewski A.: Poradnik Inżyniera Samochodowego. Pr. zbiorowa pod red. Z. Jaśkiewicza, Tom I. Warszawa, WKŁ 1990.
8.	Jaśkiewicz Z., Wąsiewski A.: Układy napędowe samochodów. Przekładnie walcowe. Tom II. Projektowanie. Warszawa, WKŁ 1995.
9.	Jaśkiewicz Z., Wąsiewski A.: Układy napędowe pojazdów samochodowych. Obliczenia projektowe. Warszawa, Oficyna Wydawnicza Politechniki Warszawskiej 2002.
10.	Lechner G., Naunheimer H.: Fahrzeuggetriebe. Berlin: Springer-Verlag 1994.
11.	Micknass W., Popiol R., Sprenger A.: Sprzęgła, skrzynki biegów, wały napędowe i półosie napędowe. Warszawa, WKŁ 2005.
12.	Orzełowski S.: Eksperymentalne badania samochodów i ich zespołów. Wydawnictwa Naukowo-Techniczne, Warszawa 1995.
13.	Sitek K., Syta S.: Badania stanowiskowe i diagnostyka. WKŁ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1150-MTPOJ-ISP-0321_W1: </w:t>
      </w:r>
    </w:p>
    <w:p>
      <w:pPr/>
      <w:r>
        <w:rPr/>
        <w:t xml:space="preserve">Posiada wiedzę o kryteriach projektowania układów napędowych pojazdów, wynikających z analizy ich możliwych rodzajów uszkodzeń.</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1150-MTPOJ-ISP-0321_W2: </w:t>
      </w:r>
    </w:p>
    <w:p>
      <w:pPr/>
      <w:r>
        <w:rPr/>
        <w:t xml:space="preserve">Ma uporządkowaną, podbudowaną teoretycznie wiedzę ogólną obejmującą kluczowe zagadnienia z zakresu budowy i teorii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1150-MTPOJ-ISP-0321_W3: </w:t>
      </w:r>
    </w:p>
    <w:p>
      <w:pPr/>
      <w:r>
        <w:rPr/>
        <w:t xml:space="preserve">Zna podstawowe metody obliczeniowe i eksperymentalne, stosowane przy rozwiązywaniu prostych zagadnień związanych z projektowaniem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1150-MTPOJ-ISP-0321_W4: </w:t>
      </w:r>
    </w:p>
    <w:p>
      <w:pPr/>
      <w:r>
        <w:rPr/>
        <w:t xml:space="preserve">Posiada wiedzę o materiałach stosowanych w układach napędowych pojazdów i ich podstawowych właściwościach mechanicznych, wynikających z procesu technologicznego.</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1150-MTPOJ-ISP-0321_W5: </w:t>
      </w:r>
    </w:p>
    <w:p>
      <w:pPr/>
      <w:r>
        <w:rPr/>
        <w:t xml:space="preserve">Zna zasady określania i wyznaczania obciążeń projektowych i ich efektów, niezbędnych do projektowania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1150-MTPOJ-ISP-0321_U1: </w:t>
      </w:r>
    </w:p>
    <w:p>
      <w:pPr/>
      <w:r>
        <w:rPr/>
        <w:t xml:space="preserve">Potrafi przeprowadzić podstawowe obliczenia zespołów układu napędowego i sformułować stosowne kryteria projektowe.</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1150-MTPOJ-ISP-0321_U2: </w:t>
      </w:r>
    </w:p>
    <w:p>
      <w:pPr/>
      <w:r>
        <w:rPr/>
        <w:t xml:space="preserve">Potrafi wyznaczyć obciążenia projektowe dla podstawowych zespołów układu napędowego pojazdu.</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1150-MTPOJ-ISP-0321_U3: </w:t>
      </w:r>
    </w:p>
    <w:p>
      <w:pPr/>
      <w:r>
        <w:rPr/>
        <w:t xml:space="preserve">Potrafi dobrać parametry zespołów układu napędowego dla danego pojazdu.</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pStyle w:val="Heading3"/>
      </w:pPr>
      <w:bookmarkStart w:id="4" w:name="_Toc4"/>
      <w:r>
        <w:t>Profil ogólnoakademicki - kompetencje społeczne</w:t>
      </w:r>
      <w:bookmarkEnd w:id="4"/>
    </w:p>
    <w:p>
      <w:pPr>
        <w:keepNext w:val="1"/>
        <w:spacing w:after="10"/>
      </w:pPr>
      <w:r>
        <w:rPr>
          <w:b/>
          <w:bCs/>
        </w:rPr>
        <w:t xml:space="preserve">Efekt 1150-MTPOJ-ISP-0321_K1: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sprawozdań.</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2024-05-02T03:34:55+02:00</dcterms:created>
  <dcterms:modified xsi:type="dcterms:W3CDTF">2024-05-02T03:34:55+02:00</dcterms:modified>
</cp:coreProperties>
</file>

<file path=docProps/custom.xml><?xml version="1.0" encoding="utf-8"?>
<Properties xmlns="http://schemas.openxmlformats.org/officeDocument/2006/custom-properties" xmlns:vt="http://schemas.openxmlformats.org/officeDocument/2006/docPropsVTypes"/>
</file>