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- 48 godz., w tym:
a) wykład - 30 godz.;
b) laboratorium-15. godz.;
c) konsultacje - 3 godz.;
2) Praca własna studenta- 27 godzin,  w tym: 
a) przygotowanie do ćwiczeń w lab. komputerowym  – 12 godz.;
b) studia literaturowe 5 godz.;
c) przygotowanie sprawozdań 10 godz.
3) RAZEM – 75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48, w tym:
a) wykład -30 godz.;
b) laboratorium- 15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ETCS – 25 godzin, w tym:
1)	ćwiczenia laboratoryjne -15 godz.;
2)	przygotowanie do ćwiczeń -5 godz.;
3)	opracowanie sprawozdań –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wykonanych z materiałów warstwowych.   
Umiejętność wyznaczania stanu równowagi, naprężeń wewnętrznych, stanu odkształcenia, wytężenia, wyboczenia i częstości drgań prostych modeli jedno i dwuwymiarowych konstrukcji kompozytowych.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Rodzaje, właściwości i zastosowania kompozytów, reguła mieszanin, wytrzymałość i sztywność względna. 
Materiały anizotropowe, symetria płaszczyznowa, właściwości materiału – ortotropia. Inżynierskie stałe materiału ortotropowego.
Właściwości warstwy ortotropowej, stan naprężenia, stan odkształcenia, równanie konstytutywne.
Równania konstytutywne w dowolnym układzie odniesienia. 
Właściwości wytrzymałościowe laminatu.
Założenia teorii laminatów cienkich, stan przemieszczenia laminatu.
Naprężenia i siły wewnętrzne w laminacie, macierze sztywności, i sprzężenia.
Uproszczenia macierzy sztywności laminatu.
Wytężenie laminatu, hipotezy wytężeniowe dla warstwy ortotropowej w płaskim stanie naprężenia. Równania równowagi płyt laminowanych, wyprowadzenie przemieszczeniowych równań równowagi, warunki brzegowe. 
Jednowymiarowe zagadnienia płyt laminowanych, zginanie walcowe płyty,  belki laminowane. Obliczenia wytrzymałościowe laminowanych płyt prostokątnych. Przemieszczenia, wyboczenie i drgania płyt laminowanych.
Laboratorium:
Praca z programem Lampcal (wyznaczania sił wewnętrznych w laminacie, przemieszczeń, sił krytycznych i częstotliwości drgań swobodnych).
Optymalizacja struktury płyty kompozytowej z różnymi funkcjami celu. Zbadanie efektów delaminacji przegrody w kanale akustycznym na tłumienie rozchodzenia się hałasu. Zaprojektowanie segmentacji elementów wykonawczych w celu zmniejszenia hałasu szybko wirujących tarcz.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sprawdzian. Laboratorium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1150-MTKIN-ISP-0323_W1: </w:t>
      </w:r>
    </w:p>
    <w:p>
      <w:pPr/>
      <w:r>
        <w:rPr/>
        <w:t xml:space="preserve">Ma podstawową wiedzę z zakresu równowagi kompozytów, ich wytrzymałości i metod wyznaczania ich częstości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1150-MTKIN-ISP-0323_W2: </w:t>
      </w:r>
    </w:p>
    <w:p>
      <w:pPr/>
      <w:r>
        <w:rPr/>
        <w:t xml:space="preserve">Ma wiedzę z równań konstytutywnych kompozytów, sprzężeń materialnych i  ich wytężenia.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1150-MTKIN-ISP-0323_W3: </w:t>
      </w:r>
    </w:p>
    <w:p>
      <w:pPr/>
      <w:r>
        <w:rPr/>
        <w:t xml:space="preserve">Zna koncepcję uproszczonych jednowymiarowych kompozytów jako szczególnych uproszczonych wersji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1150-MTKIN-ISP-0323_U1: </w:t>
      </w:r>
    </w:p>
    <w:p>
      <w:pPr/>
      <w:r>
        <w:rPr/>
        <w:t xml:space="preserve">Potrafi wyznaczyć stan naprężenia i wytężenie kompozytów. Potrafi dobrać parametry elementu kompozytowego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1150-MTKIN-ISP-0323_U2: </w:t>
      </w:r>
    </w:p>
    <w:p>
      <w:pPr/>
      <w:r>
        <w:rPr/>
        <w:t xml:space="preserve">Potrafi zastosować matematyczne modele jednowymiarowych elementów kompozytowych i przeprowadzić odpowiednie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1150-MTKIN-ISP-0323_U3: </w:t>
      </w:r>
    </w:p>
    <w:p>
      <w:pPr/>
      <w:r>
        <w:rPr/>
        <w:t xml:space="preserve">Potrafi przeprowadzić podstawową analizę i dobrać parametry geometryczne i materiałowe do zapewnienia odpowiednich częstości drgań swobodnych i wymuszonych.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1150-MTKIN-ISP-0323_K1: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wykonywania zadań cząstkowych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2026-02-08T00:12:25+01:00</dcterms:created>
  <dcterms:modified xsi:type="dcterms:W3CDTF">2026-02-08T00:12:25+01:00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