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finansowa</w:t>
      </w:r>
    </w:p>
    <w:p>
      <w:pPr>
        <w:keepNext w:val="1"/>
        <w:spacing w:after="10"/>
      </w:pPr>
      <w:r>
        <w:rPr>
          <w:b/>
          <w:bCs/>
        </w:rPr>
        <w:t xml:space="preserve">Koordynator przedmiotu: </w:t>
      </w:r>
    </w:p>
    <w:p>
      <w:pPr>
        <w:spacing w:before="20" w:after="190"/>
      </w:pPr>
      <w:r>
        <w:rPr/>
        <w:t xml:space="preserve">dr Grzegorz Rządkowski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Przygotowywanie się do wykładów i ćwiczeń, rozwiązywanie zadań domowych, przygotowywanie tabel w arkuszu kalkulacyjnym, pisanie programów w Matlabie – 120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opanowanie wiedzy i umiejętności związanych z podstawowymi metodami matematycznymi, które znajdują zastosowanie w finansach i inżynierii finansowej</w:t>
      </w:r>
    </w:p>
    <w:p>
      <w:pPr>
        <w:keepNext w:val="1"/>
        <w:spacing w:after="10"/>
      </w:pPr>
      <w:r>
        <w:rPr>
          <w:b/>
          <w:bCs/>
        </w:rPr>
        <w:t xml:space="preserve">Treści kształcenia: </w:t>
      </w:r>
    </w:p>
    <w:p>
      <w:pPr>
        <w:spacing w:before="20" w:after="190"/>
      </w:pPr>
      <w:r>
        <w:rPr/>
        <w:t xml:space="preserve">Wykład: 
Wartość przyszła (FV) pieniądza: oprocentowanie proste, oprocentowanie składane, oprocentowanie składane wielokrotne, oprocentowanie ciągłe.
Wartość obecna (PV) pieniądza, dyskontowanie, czynniki dyskontujące,
Strumienie pieniężne,
Rzeczywista roczna stopa procentowa, 
Renta, wartość obecna renty, renta wieczna
Ocena projektów inwestycyjnych, wartość bieżąca netto (NPV), wewnętrzna stopa zwrotu (IRR) 
Papiery wartościowe o stałym dochodzie. 
Obligacje, portfele obligacji. 
Immunizacja portfela obligacji.
Akcje, portfele akcji. 
Teoria Markowitza. Teoria CAPM.
W razie potrzeby powtórzenie lub przypomnienie pewnych treści z analizy matematycznej (np. liczby zespolone, ekstrema warunkowe, metoda mnożników Lagrange’a)
Ćwiczenia: 
Rozwiązywanie zadań  ilustrujących materiał wykładu. Do części zadań zostanie wykorzystany arkusz kalkulacyjny oraz program Matlab. </w:t>
      </w:r>
    </w:p>
    <w:p>
      <w:pPr>
        <w:keepNext w:val="1"/>
        <w:spacing w:after="10"/>
      </w:pPr>
      <w:r>
        <w:rPr>
          <w:b/>
          <w:bCs/>
        </w:rPr>
        <w:t xml:space="preserve">Metody oceny: </w:t>
      </w:r>
    </w:p>
    <w:p>
      <w:pPr>
        <w:spacing w:before="20" w:after="190"/>
      </w:pPr>
      <w:r>
        <w:rPr/>
        <w:t xml:space="preserve">A. Wykład: 
1. Ocena formatywna: Projekt
 2. Ocena sumatywna : Projekt 
B. Ćwiczenia: 
1. Ocena formatywna: Kolokwium 
 2. Ocena sumatywna: Aktywność, kolokwium
C. Końcowa ocena z przedmiotu: Projekt (40%)+kolokwium (30%)+aktywność (30%)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Mieczysław Sobczyk, „Matematyka finansowa” (wyd.6),  Placet War-szawa 2011
Uzupełniająca:
David Luenberger, "Teoria inwestycji finansowych", PWN Warszawa 2003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2024-05-05T11:32:21+02:00</dcterms:created>
  <dcterms:modified xsi:type="dcterms:W3CDTF">2024-05-05T11:32:21+02:00</dcterms:modified>
</cp:coreProperties>
</file>

<file path=docProps/custom.xml><?xml version="1.0" encoding="utf-8"?>
<Properties xmlns="http://schemas.openxmlformats.org/officeDocument/2006/custom-properties" xmlns:vt="http://schemas.openxmlformats.org/officeDocument/2006/docPropsVTypes"/>
</file>