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- 11, w tym:
a) wykład - 10 godz.;
b) konsultacje - 1 godz.
2) Praca własna studenta -45, w tym:
a)	 15 godz. – bieżące przygotowywanie studenta do wykładu,
b)	 15 godz. –studia literaturowe,
c)	 15 godz. – przygotowywanie się studenta do egzaminu,
3) RAZEM –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 - 11, w tym:
a) wykład - 10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1150-MB000-IZP-0316_W4: </w:t>
      </w:r>
    </w:p>
    <w:p>
      <w:pPr/>
      <w:r>
        <w:rPr/>
        <w:t xml:space="preserve">Efekt:	Ma wiedzę z zakresu układów sterowania w maszynach i urządzeniach z napędem hydraulicznym i pneumatycznym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1150-MB000-IZP-0316_W5: </w:t>
      </w:r>
    </w:p>
    <w:p>
      <w:pPr/>
      <w:r>
        <w:rPr/>
        <w:t xml:space="preserve">Posiada wiedzę o kryteriach projektowania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1150-MB000-IZP-0316_W6: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1150-MB000-IZP-0316_W7: </w:t>
      </w:r>
    </w:p>
    <w:p>
      <w:pPr/>
      <w:r>
        <w:rPr/>
        <w:t xml:space="preserve">Potrafi sterować elementami wykonawczymi projektowanego napędu hydraulicznego lub pneumatycznego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1150-MB000-IZP-0316_U1: </w:t>
      </w:r>
    </w:p>
    <w:p>
      <w:pPr/>
      <w:r>
        <w:rPr/>
        <w:t xml:space="preserve">Student potrafi planować i budować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KMiBM_U04,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InzA_U06, T1A_U01, T1A_U16, T1A_U10, T1A_U15, T1A_U16, InzA_U03, InzA_U04, InzA_U07, InzA_U08, T1A_U12, T1A_U14, T1A_U16, InzA_U04,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1150-MB000-IZP-0316_U2: </w:t>
      </w:r>
    </w:p>
    <w:p>
      <w:pPr/>
      <w:r>
        <w:rPr/>
        <w:t xml:space="preserve">Student potrafi wykorzystać metody symulacyjne do projektowania i oceny układów hydraulicznych i pneumatycznych oraz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1150-MB000-IZP-0316_U4: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1150-MB000-IZP-0316_U5: </w:t>
      </w:r>
    </w:p>
    <w:p>
      <w:pPr/>
      <w:r>
        <w:rPr/>
        <w:t xml:space="preserve">Potrafi czytać schematy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2024-05-04T07:02:59+02:00</dcterms:created>
  <dcterms:modified xsi:type="dcterms:W3CDTF">2024-05-04T07:02:59+02:00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