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Sobczykiewicz, prof. PW, dr inż. Artur Jankowiak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-30, w tym:
a)	wykład - 20 godz.;
b)	laboratorium- 10 godz.
2) Praca własna studenta - 70 godz, w tym 
a)	20 godz. – bieżące przygotowywanie się do laboratoriów i wykładów,
b)	25 godz. – studia literaturowe,
c)	15 godz. – opracowanie wyników, przygotowanie sprawozdań,
d)	10 godz. - przygotowywanie się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- 30., w tym:
a)	wykład -20 godz.;
b)	laboratorium - 10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	10 godz. - ćwiczenia laboratoryjne,
2)	15 godz. – przygotowywanie się do ćwiczeń laboratoryjnych,
3)	15 godz. – opracowanie wyników, przygotowanie sprawozdań,
4)	10 godz. –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wytrzymałości materiałów i podstaw konstrukcji maszyn (wysłuchanie wykładów: Wytrzymałość Materiałów, PKM).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konstrukcji nośnych maszyn roboczych. Nabycie przez studentów umiejętności formułowania i udowodnienia wymagań projektowych dla konstrukcji nośnych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konstrukcji nośnych maszyn roboczych. Formy konstrukcyjne. Technologia wytwarzania.
Materiały konstrukcji nośnych, kategorie, właściwości mechaniczne. Stale podwyższonej i wysokiej wytrzymałości, stopy aluminium.
Algorytm projektowania konstrukcji nośnych maszyn. 
Rodzaje uszkodzeń konstrukcji nośnych i elementów konstrukcyjnych a kryteria projektowania.  
Formułowanie wymagań w zakresie sztywności, trwałej deformacji, stateczności ogólnej i lokalnej, pękania zmęczeniowego.  
Wyznaczanie obciążeń stosownie do kryteriów projektowania. 
Normy i przepisy obowiązujące dla wybranych maszyn roboczych i urządzeń. 
System klasyfikacyjny obciążeń w dźwignicach. Obciążenia eksploatacyjne dźwignic, kojarzenie obciążeń.  
Analiza naprężeń w konstrukcjach nośnych maszyn. Skręcanie profili cienkościennych.
Podstawowe zasady wymiarowania wytrzymałościowego: naprężenia dopuszczalne i naprężenia graniczne. Współczynnik bezpieczeństwa. 
Zasady wymiarowanie konstrukcji nośnej w zakresie trwałości zmęczeniowej. Wyznaczanie obciążeń cyklicznych. Schematyzacja przebiegu obciążeń i wyznaczanie widma obciążeń. 
Dobór charakterystyki zmęczeniowej. Specyfika złączy spawanych.
Szacowanie trwałości zmęczeniowej konstrukcji nośnej. 
Laboratorium 
Koncentracja naprężeń w elementach konstrukcji nośnych. 
Skręcanie profili cienkościennych.
Koncentracja naprężeń w elementach konstrukcji stalowej.
Krzywa Kohlera. Ocena trwałości zmęczeniowej.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egzaminu (wykładu OW). Jako końcowy wynik z przedmiotu podaje się ocenę łączną (O). Obliczana jest ona w następujący sposób:
O = 0.75*OW + 0.25*OL,
Wykład
Ocena za Wykład ustalana jest w oparciu o wyniki egzaminu przeprowadzanego w sesji egzaminacyjnej.
Laboratorium 
Pozytywną ocenę uzyskuje się po zaliczeniu wejściówki, poprawnie wykonanym ćwiczeniu i oddaniu sprawozdania.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Dyląg, A. Jakubowicz, Z. Orłoś: Wytrzymałość materiałów, WNT Warszawa, 1996,
2. J. Rutecki: Cienkościenne konstrukcje nośne, WNT 1966, 
3. Kocańda, S., Szala, J.: Podstawy obliczeń zmęczeniowych, PWN, 1997, 
4. H. Frąckiewicz i inni: Węzły i połączenia konstrukcyjne. WNT, Warszawa, 1985, 
5. W.D. Pilkey, D.F. Pilkey: Peterson’s Stress Concentration Factors, John Wiley &amp; Sons, 2008, 
6. ASTM E1049-1985 Standard Practices for Cycle Counting in Fatigue Analysis, 
7.  ISO 20332-1: Cranes – Proof of competence of steel structures – Part 1: General,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www.wsimr.pw.edu.pl/index.php/Strona-glowna-wydzialu-Wydział Samochodów i Maszyn Roboczych/Studia/Kierunki-studiow-i-specjalnosci/Mechanika-i-Budowa-Maszyn-I-stopien-stacjonarne/Konstrukcje-nosne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1150-MBMRC-IZP-0321_W1: </w:t>
      </w:r>
    </w:p>
    <w:p>
      <w:pPr/>
      <w:r>
        <w:rPr/>
        <w:t xml:space="preserve">Posiada wiedzę o kryteriach projektowania konstrukcji nośnych maszyn roboczych,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1150-MBMRC-IZP-0321_W2: </w:t>
      </w:r>
    </w:p>
    <w:p>
      <w:pPr/>
      <w:r>
        <w:rPr/>
        <w:t xml:space="preserve">Posiada wiedzę o materiałach stosowanych na konstrukcje nośne maszyn roboczych i ich podstawowych właściwościach mechanicznych, wynikających z procesu technologicznego wytwarzania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1150-MBMRC-IZP-0321_U1: </w:t>
      </w:r>
    </w:p>
    <w:p>
      <w:pPr/>
      <w:r>
        <w:rPr/>
        <w:t xml:space="preserve">Umie zastosować zasady określania i wyznaczania obciążeń eksploatacyjnych i ich efektów, niezbędnych do projektowania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1150-MBMRC-IZP-0321_U2: </w:t>
      </w:r>
    </w:p>
    <w:p>
      <w:pPr/>
      <w:r>
        <w:rPr/>
        <w:t xml:space="preserve">Potrafi przewidzieć sposoby uszkodzenia konstrukcji nośnej,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1150-MBMRC-IZP-0321_U3: </w:t>
      </w:r>
    </w:p>
    <w:p>
      <w:pPr/>
      <w:r>
        <w:rPr/>
        <w:t xml:space="preserve">Potrafi wyznaczyć obciążenia konstrukcji nośnej, wymagane dla rozważanego sposobu uszkodzenia.h.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1150-MBMRC-IZP-0321_U4: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1150-MBMRC-IZP-0321_U5: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2024-05-05T09:58:24+02:00</dcterms:created>
  <dcterms:modified xsi:type="dcterms:W3CDTF">2024-05-05T09:58:24+02:00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