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a) wykład – 20 godz.;
b) konsultacje – 1 godz.;
2) Praca własna studenta – 55 godzin, w tym:
a) 15 godz. – bieżące przygotowanie studenta do wykładu,
b) 20 godz. – studia literaturowe,
d) 20 godz. – przygotowanie do sprawdzianów.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a) wykład – 20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wiedzę o procesach wibroakustycznych zachodzących w maszynach wraz ze zrozumieniem idei stosowania metod minimalizacji drgań i hałasu. Potrafi zidentyfikować zagrożenia wibroakustyczne w środowisku pracy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Wybrane zagadnienia ochrony przed hałasem i drganiami. Drgania i generacja dźwięku.
2.	Zespoły pojazdów i maszyn jako źródło generacji dźwięku. 
3.	Optymalizacja parametrów klimatu akustycznego.
4.	Kształtowanie właściwości wibroakustycznych elementów i zespołów maszyn.
5.	Modele propagacji energii wibroakustycznej jako podstawa algorytmów projektowania maszyn cichobieżnych.
6.	Wzajemny wpływ propagacji drgań i hałasu.
7.	Obudowy i struktury dźwięko- i wibroizolacyjne oraz dźwiękochłonne. Rozwiązania techniczne. Algorytmy obliczeniowe. Stosowane materiały.
8.	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1150-MBWIB-IZP-0404_W1: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1150-MBWIB-IZP-0404_W2: </w:t>
      </w:r>
    </w:p>
    <w:p>
      <w:pPr/>
      <w:r>
        <w:rPr/>
        <w:t xml:space="preserve">Rozumie ideę stosowania metod minimalizacji drgań i hałasu, jest świadomy ich zalet i wad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1150-MBWIB-IZP-0404_W3: </w:t>
      </w:r>
    </w:p>
    <w:p>
      <w:pPr/>
      <w:r>
        <w:rPr/>
        <w:t xml:space="preserve">Zna podstawowe zasady dotyczące wzajemnych relacji pomiędzy drganiami i hałasem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1150-MBWIB-IZP-0404_U1: </w:t>
      </w:r>
    </w:p>
    <w:p>
      <w:pPr/>
      <w:r>
        <w:rPr/>
        <w:t xml:space="preserve">Potrafi zidentyfikować zagrożenia wibroakustyczne w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1150-MBWIB-IZP-0404_K1: </w:t>
      </w:r>
    </w:p>
    <w:p>
      <w:pPr/>
      <w:r>
        <w:rPr/>
        <w:t xml:space="preserve">Jest świadom zagrożeń wibroakustycznych występujących w środowisku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2026-08-18T21:32:04+02:00</dcterms:created>
  <dcterms:modified xsi:type="dcterms:W3CDTF">2026-08-18T21:32:04+02:00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