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150-MBPOJ-IZP-0405</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 20 godz.;
b) konsultacje – 1 godz.;
2) Praca własna studenta -  35 godzin, w tym:
a)	 15 godz. – bieżące przygotowywanie się studenta do wykładu;
b)	 5 godz. – studia literaturowe;
c)	 15 godz. – przygotowywanie się studenta do kolokwiów;
3) RAZEM – 56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20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Wykład. 
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150-MBPOJ-IZP-0405_K_W1: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150-MBPOJ-IZP-0405_K_W2: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keepNext w:val="1"/>
        <w:spacing w:after="10"/>
      </w:pPr>
      <w:r>
        <w:rPr>
          <w:b/>
          <w:bCs/>
        </w:rPr>
        <w:t xml:space="preserve">Efekt 150-MBPOJ-IZP-0405_K_W3: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150-MBPOJ-IZP-0405_K_U1: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150-MBPOJ-IZP-0405_K_U2: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150-MBPOJ-IZP-0405_K_K1: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2024-04-27T13:03:18+02:00</dcterms:created>
  <dcterms:modified xsi:type="dcterms:W3CDTF">2024-04-27T13:03:18+02:00</dcterms:modified>
</cp:coreProperties>
</file>

<file path=docProps/custom.xml><?xml version="1.0" encoding="utf-8"?>
<Properties xmlns="http://schemas.openxmlformats.org/officeDocument/2006/custom-properties" xmlns:vt="http://schemas.openxmlformats.org/officeDocument/2006/docPropsVTypes"/>
</file>