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1150-PE000-PEP-0333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 godz., w tym:
a) wykład - 15 godz.;
b) laboratorium- 15 godz.;
c) konsultacje – 2 godz.
2) Praca własna studenta - 20 godz., w tym:
a)	15 godz. – bieżące przygotowywanie się studenta do ćwiczeń, studia literaturowe,
b)	5 godz. – przygotowywanie się studenta do kolokwium.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punktu ECTS – liczba godzin kontaktowych  - 32 godz., w tym:
a) wykład - 15 godz.;
b) laboratorium- 15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punkty ECTS - 50 godz., w tym:  
a) udział w ćwiczeniach laboratoryjnych - 15 godz.;
b) przygotowywanie się do ćwiczeń laboratoryjnych i studia literaturowe- 15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 oraz LabVIEW w zakresie przedmiotów Techniki Komputerowe – Pracownia, Wprowadzenie do Systemów Mikroprocesorowych i Inżynieria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wiadomości nt. rejestracji i analizy sygnałów analogowych i cyfrowych w systemach czasu rzeczywistego. Wykorzystanie układów we/wy do obsługi procesów sterowania w silnikach spalinowych. Komunikacja pomiędzy sterownikami w sieci CAN.
Laboratorium: 
Pomiary wielkości fizycznych, synchronizacja sensorów i aktuatorów z zachowaniem rygorów czasowych, realizacja typowych zadań w układach sterowania. Wykorzystanie sieci wymiany danych. Tworzenie graficznych interfejsów użytkownika.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Ocena końcowa jest średnią ocen ze wszystkich ćwiczeń (przeliczaną z ocen punktowych). Wymagane jest zaliczenie wszystkich ćwiczeń.
Ocena końcowa jest średnią z oceny z wykładu i  z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Paprocki K. Mikrokontrolery STM32 w praktyce. Wydawnictwo BTC, 2009.
 Galewski M. STM32. Aplikacje i ćwiczenia w języku C. Wydawnictwo BTC, 2011.
 The definitive guide to the ARM Cortex-M3. http://WWW.eecs.umich.edu/courses/eecs373/labsW14/refs/ M3%20Guide.pdf (dostęp 4.10.2015)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1150-PE000-PEP-0333_W1: </w:t>
      </w:r>
    </w:p>
    <w:p>
      <w:pPr/>
      <w:r>
        <w:rPr/>
        <w:t xml:space="preserve">Posiada wiedzę niezbędną do budowy programów służących do rejestracji i analizy sygnałów oraz budowy układów sterowania, w tym oprogramowania pracującego w systemach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1150-PE000-PEP-0333_W2: </w:t>
      </w:r>
    </w:p>
    <w:p>
      <w:pPr/>
      <w:r>
        <w:rPr/>
        <w:t xml:space="preserve">Posiada podstawową wiedzę o sieciach CAN stosowanych pojazdach i maszynach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1150-PE000-PEP-0333_U1: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K_U10,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T1A_U01, T1A_U16</w:t>
      </w:r>
    </w:p>
    <w:p>
      <w:pPr>
        <w:keepNext w:val="1"/>
        <w:spacing w:after="10"/>
      </w:pPr>
      <w:r>
        <w:rPr>
          <w:b/>
          <w:bCs/>
        </w:rPr>
        <w:t xml:space="preserve">Efekt 1150-PE000-PEP-0333_U2: </w:t>
      </w:r>
    </w:p>
    <w:p>
      <w:pPr/>
      <w:r>
        <w:rPr/>
        <w:t xml:space="preserve">Potrafi samodzielnie pogłębiać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T1A_U01, T1A_U16</w:t>
      </w:r>
    </w:p>
    <w:p>
      <w:pPr>
        <w:keepNext w:val="1"/>
        <w:spacing w:after="10"/>
      </w:pPr>
      <w:r>
        <w:rPr>
          <w:b/>
          <w:bCs/>
        </w:rPr>
        <w:t xml:space="preserve">Efekt 1150-PE000-PEP-0333_U3: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1150-PE000-PEP-0333_K1: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2026-03-01T02:53:42+01:00</dcterms:created>
  <dcterms:modified xsi:type="dcterms:W3CDTF">2026-03-01T02:53:42+01:00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