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11500-00000-ISP-0407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struktur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współczesnych technikach projektowania struktur nadwozi w praktyce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projektowania struktur nadwozi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11500-00000-ISP-0407_U1: </w:t>
      </w:r>
    </w:p>
    <w:p>
      <w:pPr/>
      <w:r>
        <w:rPr/>
        <w:t xml:space="preserve">Potrafi przeprowadzić analizę zachowania się struktury nadwozia podczas wymuszeń od drogi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Kolokwium sprawdzające: </w:t>
      </w:r>
    </w:p>
    <w:p>
      <w:pPr/>
      <w:r>
        <w:rPr/>
        <w:t xml:space="preserve">Potrafi wstępnie ocenić wpływ przyjętych założeń konstrukcyjnych na wytrzymałość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11500-00000-ISP-0407_U3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11500-00000-ISP-0407_K1: </w:t>
      </w:r>
    </w:p>
    <w:p>
      <w:pPr/>
      <w:r>
        <w:rPr/>
        <w:t xml:space="preserve">Ma świadomość wagi przyjętych założeń dokładność obliczeń konstrukcji oraz konieczności weryfikacji przyjętych założeń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2024-05-03T11:16:31+02:00</dcterms:created>
  <dcterms:modified xsi:type="dcterms:W3CDTF">2024-05-03T11:16:31+02:00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