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kontaktowych- 22 godz. w tym:
a) wykład - 10 godz.;
b) laboratorium- 10 godz.;
c) konsultacje - 2 godz.;
2) Praca własna studenta – 30 godz. , w tym:
a) studia literaturowe: 5 godz.;
b) przygotowanie do zajęć: 5 godz.
c) przygotowania do kolokwium zaliczeniowego: 5 godz.
d) opracowanie sprawozdań: 15 godz.
3) RAZEM –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punktu ECTS – liczba godzin kontaktowych - 22, w tym:
a) wykład - 10 godz.;
b) laboratorium- 10 godz.;
c) konsultacje - 2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1150-00000-MZP-0505_U1: </w:t>
      </w:r>
    </w:p>
    <w:p>
      <w:pPr/>
      <w:r>
        <w:rPr/>
        <w:t xml:space="preserve">Potrafi określić kierunki dalszego ucznia się i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1150-00000-MZP-0505_U2: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KMchtr2_U11, KMchtr2_U12, KMchtr2_U14, KMchtr2_U15,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2024-04-29T19:45:48+02:00</dcterms:created>
  <dcterms:modified xsi:type="dcterms:W3CDTF">2024-04-29T19:45:48+02:00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