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
Filipowski R., Marciniak M.: Techniki obróbki mechanicznej i erozyjnej. OW PW, Warszawa 2000 
Burakowski T., Wierzchoń T.: Inżynieria powierzchni metali. WNT, Warszawa, 1995 
Hryniewicz T.: Technologia powierzchni i powłok. WU Politechniki Koszalińskiej, 1999 
Miecielica M., Kaszkiel G.: Komputerowe wspomaganie wytwarzania CAM. Mikom, Warszawa 1999. 
Oczoś K., Porzycki J.: Szlifowanie. WN-T, Warszawa, 1986 
Ruszaj A.: Niekonwencjonalne metody wytwarzania elementów maszyn i narzędzi. Prace Instytutu Obróbki Skrawaniem, Kraków 1999 
Wysiecki M.: Nowoczesne materiały narzędziowe. WN-T, Warszawa 1997
Praca zbiorowa: Procesy technologiczne w elektronice półprzewodnikowej. Wyd. II, WNT, Warszawa,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PTW2z_Inst_W01: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PTW2z_Inst_K01: </w:t>
      </w:r>
    </w:p>
    <w:p>
      <w:pPr/>
      <w:r>
        <w:rPr/>
        <w:t xml:space="preserve">W sposób odpowiedzialny i zgodny z etyką zawodową jest w stanie współpracować realizując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2026-07-08T02:58:26+02:00</dcterms:created>
  <dcterms:modified xsi:type="dcterms:W3CDTF">2026-07-08T02:58:26+02:00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