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MWB_2st_W01: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MWB_2st_W02: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MWB_2st_W03: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MWB_2st_U01: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MWB_2st_U02: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MWB_2st_U03: </w:t>
      </w:r>
    </w:p>
    <w:p>
      <w:pPr/>
      <w:r>
        <w:rPr/>
        <w:t xml:space="preserve">Umie samodzielnie zdobywać nowe umiejętności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MWB_2st_U04: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MWB_2st_K01: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MWB_2st_K02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2024-04-29T03:56:22+02:00</dcterms:created>
  <dcterms:modified xsi:type="dcterms:W3CDTF">2024-04-29T03:56:22+02:00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