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studentow z podstawowymi narzedziami matematyki dyskretnej i teorii algorytmow takimi jak:
podstawy kombinatoryki,
teoria funkcji tworzacych,
podstawowe algorytmy przeszukiwania, sortowania i kasowania,
analiza zlozonosci algorytmow,
podstawy teorii grafow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kombinatoryia,
Algorytmy przeszukiwania, sortowania i kasowania,
Analiza algorytmow,
Teoria grafow i algorytmy w teorii grafow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aktywnosc na cwiczeniach,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"Wyklady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MD_2st_W03: </w:t>
      </w:r>
    </w:p>
    <w:p>
      <w:pPr/>
      <w:r>
        <w:rPr/>
        <w:t xml:space="preserve">Zna podstawy teorii grafow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MD_2st_U01: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InzA_U01, T2A_U01, 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2024-05-08T01:34:04+02:00</dcterms:created>
  <dcterms:modified xsi:type="dcterms:W3CDTF">2024-05-08T01:34:04+02:00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