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Formy ugrupowań integracyjnych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Latoszek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wykłady, 8 h - przygotowanie do zajęć w tym zapoznanie z literaturą, 10 h - przygotowanie pracy, 17 h - przygotowanie do kolokwium, 4 h - konsultacje, 6 h - zaliczenia poprawkowe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wykłady  
0,16 ECTS - konsultacje, 0,24 ECTS -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Międzynarodowe stosunki gospodarcze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ekonomicznym mechanizmem międzynarodowej integracji gospodarczej na przykładzie wybranych ugrupowań integracyjnych.
Celem nauczania przedmiotu jest wprowadzenie do specjalistycznych studiów nad działaniami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Przyczyny i formy integracji międzynarodowej.
Mechanizm międzynarodowej integracji gospodarczej w teorii i praktyce.
Geneza, założenia i zasady funkcjonowania wybranych ugrupowań integracyjnych (NAFTA, MERCOSUR, ASEAN).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Warunkami zaliczenia przedmiotu są dwa sprawdziany pisemne testowe poprzedzone pracą zaliczeniową. Praca stanowić będzie 45% oceny końcowej, sprawdziany - 55%.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Latoszek E., Proczek M., Organizacje międzynarodowe we współczesnym świecie, wyd. Elipsa. Warszawa 2006
2. Latoszek E., Integracja europejska. Mechanizmy i wyzwania, KiW, Warszawa 2007
Literatura uzupełniająca: 
1. Bierzanek R., Symonides J., Prawo międzynarodowe publiczne, Wyd. Lexis Nexis, Warszawa 2004
2. Czubik P., Kuźniak B., Organizacje międzynarodowe, Wyd. C.H.Beck,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mechanizmy międzynarodowej integracji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Ma wiedzę na temat wybranych ugrupowań integracyjnych.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podstawowe przepisy prawne regulujące działania UE zachodzące w gospodarce 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 samodzielnie analizować trendy rozwojowe form integracyjnych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referatów.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K11: </w:t>
      </w:r>
    </w:p>
    <w:p>
      <w:pPr/>
      <w:r>
        <w:rPr/>
        <w:t xml:space="preserve">Wykazuje kreatywność w poszukiwaniu informacji i danych dotyczących trendów rozwojowych form integracyjnych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referatów.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2024-05-02T10:49:42+02:00</dcterms:created>
  <dcterms:modified xsi:type="dcterms:W3CDTF">2024-05-02T10:49:42+02:00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