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w tym: 15- wykłady, 15 - ćwiczenia, 5- konsultacje, 6- egzaminy, 6 - dodatkowe zaliczenia, 28 - praca własna studentów.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w tym:0,60- wykłady, 0,60 - ćwiczenia
II. 0,68 w tym: 0,20 - konsultacje, konsultacje e-mailowe,  0,24 - egzaminy 0,24 -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Przekazanie podstawowych wiadomości o zasadach rachunkowości, polityce rachunkowości, sprawozdawczości finansowej i standaryzacji rachunkowości w skali światowej.  Zapoznanie studentów ze szczególnymi przypadkami wyceny składników majątku i źródeł ich finansowania oraz  ewidencji złożonych operacji gospodarczych.   Cele dydaktyczne przedmiotu:1. Umiejętność  identyfikacji, wyceny i ewidencji leasingu,  instrumentów  finansowych, rezerw i rozliczeń międzyokresowych, kapitałów.2. Umiejętność rozliczania różnic inwentaryzacyjnych.3. Umiejętność rozwiązania szczególnych problemów identyfikacji, wyceny i ewidencji wartości aktywów trwałych i obrotowych. 4. Umiejętność sporządzania rachunku przepływów pieniężnych.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1.Plan kont - ewidencja syntetyczna i analityczna 2. Metoda bilansowa - rachunek majątku i kapitału 3. Klasyfikacja aktywów i pasywów - metody wyceny 4. Operacje ekwiwalentne i wynikowe 5. Rachunek kosztów - wariant porównawczy i kalkulacyjny 6. Kalkulacja wyniku finansowego - ujęcie bilansowe i podatkowe 7. Kalkulacja kosztu wytworzenia produktu gorowego oraz produkcji w toku 8.Krąg kosztów, zmiana stanu produktów, RMK 9. Sprawozdawczośc finansowa przedsiębiorstwa
Ćwiczenia:
1.Plan kont - ewidencja syntetyczna i analityczna 2. Metoda bilansowa - rachunek majątku i kapitału 3. Klasyfikacja aktywów i pasywów - metody wyceny 4. Operacje ekwiwalentne i wynikowe 5. Rachunek kosztów - wariant porównawczy i kalkulacyjny 6. Kalkulacja wyniku finansowego - ujęcie bilansowe i podatkowe 7. Kalkulacja kosztu wytworzenia produktu gorowego oraz produkcji w toku 8.Krąg kosztów, zmiana stanu produktów, RMK 9. Sprawozdawczość finansowa przedsiębiorstwa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umiejetnosci  zostanie przeprowadzone jedno kolokwium w formie pisemnej (zadania). Na punktację końcową z ćwiczeń wpływają także punkty zdobyte na zajęciach komputerowych realizowanych z użyciem programu Symfonia (moduł Finanse Księgowość).  Obecność na ćwiczeniach jest obowiązkowa. Egzamin sprawdzający efekty kształcenia w zakresie wiedzy zostanie przeprowadzony w formie pisemnej w czasie sesji egzaminacyjnej (test, zadanie). Warunkiem zdania egzaminu jest uzyskanie minimum 50% punktów. Na ocene końcową z przedmiotu w 50% składa się ocena z ćwiczeń i w 50% ocena z egzaminu.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K. Bareja, T. Boroch, M. Gawart, M. Giedroyć, K. Klimczak, E. Łazarowicz, K. Zasiewska,  Zaawansowana rachunkowość finansowa, Oficyna Wydawnicza SGH, Warszawa 2012r. J. Godlewska (red.) Rachunkowość finansowa dla zaawansowanych, Stowarzyszenie Ksiegowych w Polsce, Warszawa 2011r. K. Winiarska (red.)  Zaawansowana rachunkowość finansowa. Przykłady, zadania, testy, C.H. Beck, Warszawa 2012r.  Literatura uzupełniająca: W. Gabrusewicz, Z. Kołaczyk (red.) Rachunkowosć finansowaczęść II (zaawansowana), Stowarzyszenie Ksiegowych w Polsce, Warszawa 2008r. J. Turyna, Rachunkowosć finansowa, Wydawnictwo C.H. Beck, Warszawa 2008r.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szczególne  przypadki wyceny takich składników  majątku i źródeł ich finansowania, jak: leasing,  instrumenty finansowe,  kapitały. Zna zasady sporządzania rachunku przepływów pieniężnych, zestawienia zmian w kapitale własnym i skonsolidowanych sprawozdań finansowych.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Zna zasady rachunkowości. Rozumie różnicę między polityką rachunkowości, polityką bilansową i kreatywną rachunkowością.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ewidencji leasingu,  instrumentów  finansowych,  kapitałów na kontach księgowych.  Umie rozliczać różnice inwentaryzacyjne. 3. Potrafi rozwiązywać szczególne problemy, wyceny i ewidencji wartości aktywów trwałych i obrotowych.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na podstawie, aktywności na zajęciach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U28: </w:t>
      </w:r>
    </w:p>
    <w:p>
      <w:pPr/>
      <w:r>
        <w:rPr/>
        <w:t xml:space="preserve">Potrafi skalkulować koszt jednostkowy na potrzeby wyceny wyrobów gotowych. Posiada umiejętność rozliczania kosztów w czasie (rozliczenia międzyokresowe kosztów).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 sporządzić rachunek przepływów pieniężnych.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na podstawie pracy w programie Symfonia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 Ma świadomość ciągłego uzupełniania wiedzy z powodu ciągłych zmian  przepisów prawnych. Rozumie konsekwencje nie stosowania przepisów prawnych w prowadzonej działalności.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2026-08-17T16:54:55+02:00</dcterms:created>
  <dcterms:modified xsi:type="dcterms:W3CDTF">2026-08-17T16:54:55+02:00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