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 cyfrowy</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60h: 20h (ćwiczenia) + 2h (konsultacje) + 13h (studia literaturowe) + 15h (wykonanie zadania projektowego) + 10h (przygotowanie eseju)</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20h (ćwiczenia) + 2h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20h (ćwiczenia) + 2h (konsultacje) + 15h (wykonanie zada-nia projektowego) + 10h (przygotowanie eseju)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marketingu.</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student, po uczestnictwie w nim:
•	rozumiał istotę marketingu cyfrowego w powiązaniu z ogólną teorią marketingu;
•	znał zakres działań podejmowanych w ramach marketingu cyfrowego; 
•	potrafił dobrać właściwe narzędzia marketingu cyfrowego do określonych zastosowań praktycznych.
</w:t>
      </w:r>
    </w:p>
    <w:p>
      <w:pPr>
        <w:keepNext w:val="1"/>
        <w:spacing w:after="10"/>
      </w:pPr>
      <w:r>
        <w:rPr>
          <w:b/>
          <w:bCs/>
        </w:rPr>
        <w:t xml:space="preserve">Treści kształcenia: </w:t>
      </w:r>
    </w:p>
    <w:p>
      <w:pPr>
        <w:spacing w:before="20" w:after="190"/>
      </w:pPr>
      <w:r>
        <w:rPr/>
        <w:t xml:space="preserve">Ćwiczenia:
1.	E-marketing a marketing „tradycyjny”
2.	Model biznesowy a strategia e-marketingowa
3.	Plan e-marketingowy
4.	Mierniki efektywności e-marketingu
5.	Produkt: wartość i koszt dla klienta
6.	Cena: polityka cenowa w mediach elektronicznych
7.	Dystrybucja: kanały dystrybucji internetowej i ich właściwości użytkowe
8.	Promocja: generowanie wartościowego ruchu przychodzącego
9.	Marketing treści – kreacja przekazu
10.	Marketing treści – dystrybucja przekazu (owned, earned, paid media)
11.	Lejek sprzedażowy i ścieżka konwersji
12.	Optymalizacja ścieżki konwersji
13.	Zarządzanie relacjami z klientem
14.	Spotkanie z praktykiem rynku
15.	Automatyzacja e-marketingu
16.	E-wizerunek
17.	Działania kryzysowe w e-marketingu
18.	Zagadnienia etyczne w e-marketingu
19.	Prezentacja rozwiązań zadań projektowych
20.	Omówienie rozwiązań zadań projektowych</w:t>
      </w:r>
    </w:p>
    <w:p>
      <w:pPr>
        <w:keepNext w:val="1"/>
        <w:spacing w:after="10"/>
      </w:pPr>
      <w:r>
        <w:rPr>
          <w:b/>
          <w:bCs/>
        </w:rPr>
        <w:t xml:space="preserve">Metody oceny: </w:t>
      </w:r>
    </w:p>
    <w:p>
      <w:pPr>
        <w:spacing w:before="20" w:after="190"/>
      </w:pPr>
      <w:r>
        <w:rPr/>
        <w:t xml:space="preserve">A. Ćwiczenia:
Ocena formatywna:
ocena poprawności wykonania ćwiczeń realizowanych w trakcie zajęć, bieżące omawianie wyników ćwiczeń.
Ocena sumatywna:
esej zaliczeniowy na uzgodniony temat (ocena w zakresie 2-5) oraz za-danie projektowe (case) realizowane w grupach (ocena w zakresie 2-5). Wymagane jest uzyskanie oceny &gt;=3 z obu elementów zaliczenia. Ocena z ćwiczeń obliczana jest zgodnie z formułą 0,6 x ocena eseju + 0,4 x ocena zadania projektowego.
B. Końcowa ocena z przedmiotu:
Ocena z ćwiczeń jest oceną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Kingsnorth S. „Digital Marketing Strategy: An Integrated Approach to Online Marketing”, Kogan Page 2016
2.	Kotler Ph., Kartajaya H., Setiawan I.  „Marketing 4.0. Moving from Traditional to Digital”, Wiley 2016
3.	Królewski J., Sala P. (red.)  „E-marketing. Współczesne tren-dy. Pakiet startowy”, Wydawnictwo Naukowe PWN 2016
4.	Strauss J., Frost R. D.  „E-marketing (7th ed.)”, Routledge 2013
Uzupełniająca:
1.	Kaufman I., Horton Ch. „Digital Marketing: Integrating Strategy and Tactics with Values, A Guidebook for Executives, Managers, and Students”, Routledge, 2014
2.	Kępiński Ł., Kordowski M., Sałkowski D., Sztubecki K.  „Marketing internetowy. Nowe możliwości nowi klienci nowe rynki”, Poltext 2015
3.	Mazurek G.  „Znaczenie wirtualizacji marketingu w siecio-wym kreowaniu wartości”, Poltext 2012</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2024-05-07T14:35:49+02:00</dcterms:created>
  <dcterms:modified xsi:type="dcterms:W3CDTF">2024-05-07T14:35:49+02:00</dcterms:modified>
</cp:coreProperties>
</file>

<file path=docProps/custom.xml><?xml version="1.0" encoding="utf-8"?>
<Properties xmlns="http://schemas.openxmlformats.org/officeDocument/2006/custom-properties" xmlns:vt="http://schemas.openxmlformats.org/officeDocument/2006/docPropsVTypes"/>
</file>