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Sławomir Kubacki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55, w tym:
a)	wykład – 30 godz.,
b)	laboratorium – 15 godz.,
c)	konsultacje – 10 godz.
Praca własna studenta – 20 godzin, w tym:
a)	10 godz. – przygotowywanie się do laboratoriów i wykładów,
b)	10 godz. – przygotowywanie się do egzaminu.
Razem: 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liczba godzin kontaktowych: 55, w tym:
a)	wykład – 30 godz.,
b)	laboratoria – 15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przedmiotów: "Mechanika płynów I", "Mechanika płynów III" , "Informatyka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 limitu,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
W części laboratoryjnej przedmiotu używany jest program ANSYS Fluent.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Hirsch, Charles, Numerical computation of internal and external flows, 2007.
2. Versteeg, Henk Kaarle, An introduction to computational fluid dynamics, 2007.
Dodatkowa literatura: materiały na stronie http://c-cfd.meil.pw.edu.pl.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ML.NK348_W1: </w:t>
      </w:r>
    </w:p>
    <w:p>
      <w:pPr/>
      <w:r>
        <w:rPr/>
        <w:t xml:space="preserve">							Zna podstawowe modele i równania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ML.NK348_W2: </w:t>
      </w:r>
    </w:p>
    <w:p>
      <w:pPr/>
      <w:r>
        <w:rPr/>
        <w:t xml:space="preserve">							Zna podstawowe metody dyskretyzacji równań różniczkowych.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ML.NK348_W3: </w:t>
      </w:r>
    </w:p>
    <w:p>
      <w:pPr/>
      <w:r>
        <w:rPr/>
        <w:t xml:space="preserve">							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ML.NK348_U1: </w:t>
      </w:r>
    </w:p>
    <w:p>
      <w:pPr/>
      <w:r>
        <w:rPr/>
        <w:t xml:space="preserve">							Potrafi zdyskretyzować i rozwiązać proste zagadnienie brzegowe.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ML.NK348_K1: </w:t>
      </w:r>
    </w:p>
    <w:p>
      <w:pPr/>
      <w:r>
        <w:rPr/>
        <w:t xml:space="preserve">							Potrafi zidentyfikować i wyeliminować zagrożenia wynikające z błędnie przeprowadzonych symulacji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2024-05-07T18:58:52+02:00</dcterms:created>
  <dcterms:modified xsi:type="dcterms:W3CDTF">2024-05-07T18:58:52+02:00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