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- 35, w tym:
a) wykłady - 30 godz.,
b) konsultacje - 5 godz.,
Praca własna studenta - bieżące przygotowywanie się do wykładu, studia literaturowe, przygotowanie się do kolokwiów - 40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wykłady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"Fizyka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							Ma uporządkowaną wiedzę na temat struktury i właściwości materii, oddziaływań fundamentalnych i mechaniki relatywistycznej.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							Ma uporządkowaną wiedzę nt. zjawisk elektromagnetycznych i optycznych w zakresie pozwalającym zrozumienie zasad działania typowych urządzeń pomiarowych i diagnostycznych.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ML.NK480_U1: </w:t>
      </w:r>
    </w:p>
    <w:p>
      <w:pPr/>
      <w:r>
        <w:rPr/>
        <w:t xml:space="preserve">							Potrafi wykorzystać poznane zasady do rozwiązywania prostych problemów z mechaniki relatywistycznej i optyki falowej.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							Potrafi wyjaśnić sposoby wytwarzania i opisać właściwości pól elektrycznych, magnetycznych i fal elektromagnetycznych z różnych zakresów widmowych.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							Potrafi wyjaśnić zasady działania typowych urządzeń wykorzystujących zjawiska optyki falowej i rozumie jakie wynikają z tego możliwości.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2024-05-03T14:59:11+02:00</dcterms:created>
  <dcterms:modified xsi:type="dcterms:W3CDTF">2024-05-03T14:59:11+02:00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