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150, w tym:
a) spotkania i konsultacje - 149 godz.,
b) zaliczenie przedmiotu - 1 godz. 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
2. Ustna obrona, podczas której student przed komisją liczącą, co najmniej 3 osoby (w tym: promotor i recenzent)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ML.NW136_U6: </w:t>
      </w:r>
    </w:p>
    <w:p>
      <w:pPr/>
      <w:r>
        <w:rPr/>
        <w:t xml:space="preserve">Ma zdolność widzenia określonej całości, której częścią jest rozwiązywany problem i przy formułowaniu zadań inżynierskich potrafi integrować wiedzę z różnych obszarów technicznych i nietechnicznych  (w tym: – ekonomii, organizacji i zarządzania oraz psychologii i socjologii).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ML.NW136_K2: </w:t>
      </w:r>
    </w:p>
    <w:p>
      <w:pPr/>
      <w:r>
        <w:rPr/>
        <w:t xml:space="preserve">Ma świadomość ważności roli i odpowiedzialności społecznej inżyniera. Dostrzega wpływ działalności inżynierskiej na życie i zdrowie ludzi oraz  na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ML.NW136_K3: </w:t>
      </w:r>
    </w:p>
    <w:p>
      <w:pPr/>
      <w:r>
        <w:rPr/>
        <w:t xml:space="preserve">Potrafi odpowiednio określić priorytety służące realizacji określonego przez siebie i innych zadania, w tym: najskuteczniejsze sposoby rozwiązania określonego problemu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ML.NW136_K4: </w:t>
      </w:r>
    </w:p>
    <w:p>
      <w:pPr/>
      <w:r>
        <w:rPr/>
        <w:t xml:space="preserve">Prawidłowo identyfikuje i rozstrzyga dylematy związane z wykonywaniem zawodu, w tym: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2024-05-02T10:28:11+02:00</dcterms:created>
  <dcterms:modified xsi:type="dcterms:W3CDTF">2024-05-02T10:28:11+02:00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